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273" w:rsidRDefault="001446F2" w:rsidP="001446F2">
      <w:pPr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2008505" cy="409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llowship-wordmark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76" b="23131"/>
                    <a:stretch/>
                  </pic:blipFill>
                  <pic:spPr bwMode="auto">
                    <a:xfrm>
                      <a:off x="0" y="0"/>
                      <a:ext cx="2009775" cy="4098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tab/>
      </w:r>
      <w:r w:rsidR="00E34E78">
        <w:tab/>
      </w:r>
      <w:bookmarkStart w:id="0" w:name="_GoBack"/>
      <w:bookmarkEnd w:id="0"/>
      <w:r w:rsidR="00E34E78">
        <w:tab/>
      </w:r>
      <w:r w:rsidR="00E34E78">
        <w:tab/>
      </w:r>
      <w:r w:rsidR="00206DBD">
        <w:rPr>
          <w:sz w:val="40"/>
          <w:szCs w:val="40"/>
        </w:rPr>
        <w:t xml:space="preserve">Fellowship Opportunities for </w:t>
      </w:r>
      <w:r w:rsidR="00E34E78">
        <w:rPr>
          <w:sz w:val="40"/>
          <w:szCs w:val="40"/>
        </w:rPr>
        <w:t>Business</w:t>
      </w:r>
      <w:r w:rsidR="007544B5">
        <w:rPr>
          <w:sz w:val="40"/>
          <w:szCs w:val="40"/>
        </w:rPr>
        <w:t xml:space="preserve"> </w:t>
      </w:r>
      <w:r w:rsidRPr="001446F2">
        <w:rPr>
          <w:sz w:val="40"/>
          <w:szCs w:val="40"/>
        </w:rPr>
        <w:t>Students</w:t>
      </w:r>
    </w:p>
    <w:p w:rsidR="00776736" w:rsidRDefault="00776736" w:rsidP="001446F2">
      <w:r>
        <w:t xml:space="preserve">The Office of University Fellowships at Minnesota State University, Mankato supports students across the University in their applications for competitive national and international fellowships. For more information please visit </w:t>
      </w:r>
      <w:hyperlink r:id="rId6" w:history="1">
        <w:r w:rsidRPr="009662D9">
          <w:rPr>
            <w:rStyle w:val="Hyperlink"/>
          </w:rPr>
          <w:t>www.mnsu.edu/fellowships</w:t>
        </w:r>
      </w:hyperlink>
      <w:r>
        <w:t xml:space="preserve">! </w:t>
      </w:r>
    </w:p>
    <w:p w:rsidR="001446F2" w:rsidRPr="00776736" w:rsidRDefault="001446F2" w:rsidP="001446F2">
      <w:pPr>
        <w:rPr>
          <w:u w:val="single"/>
        </w:rPr>
      </w:pPr>
      <w:r w:rsidRPr="00776736">
        <w:rPr>
          <w:u w:val="single"/>
        </w:rPr>
        <w:t>Priority Awards</w:t>
      </w:r>
    </w:p>
    <w:p w:rsidR="001446F2" w:rsidRDefault="001446F2" w:rsidP="001446F2">
      <w:r>
        <w:t xml:space="preserve">The Office of University Fellowships assists students applying to “Priority” Awards through individual advising and support. To schedule an advising appointment related to one of these awards, please email </w:t>
      </w:r>
      <w:hyperlink r:id="rId7" w:history="1">
        <w:r w:rsidRPr="009662D9">
          <w:rPr>
            <w:rStyle w:val="Hyperlink"/>
          </w:rPr>
          <w:t>fellowships@mnsu.edu</w:t>
        </w:r>
      </w:hyperlink>
      <w:r>
        <w:t xml:space="preserve">. </w:t>
      </w:r>
    </w:p>
    <w:tbl>
      <w:tblPr>
        <w:tblStyle w:val="TableGrid"/>
        <w:tblW w:w="14325" w:type="dxa"/>
        <w:tblLook w:val="04A0" w:firstRow="1" w:lastRow="0" w:firstColumn="1" w:lastColumn="0" w:noHBand="0" w:noVBand="1"/>
      </w:tblPr>
      <w:tblGrid>
        <w:gridCol w:w="3262"/>
        <w:gridCol w:w="3663"/>
        <w:gridCol w:w="2430"/>
        <w:gridCol w:w="2317"/>
        <w:gridCol w:w="2653"/>
      </w:tblGrid>
      <w:tr w:rsidR="00776736" w:rsidTr="008B42F9">
        <w:trPr>
          <w:trHeight w:val="262"/>
        </w:trPr>
        <w:tc>
          <w:tcPr>
            <w:tcW w:w="3262" w:type="dxa"/>
          </w:tcPr>
          <w:p w:rsidR="00776736" w:rsidRDefault="00776736" w:rsidP="001446F2">
            <w:r>
              <w:t>Award</w:t>
            </w:r>
          </w:p>
        </w:tc>
        <w:tc>
          <w:tcPr>
            <w:tcW w:w="3663" w:type="dxa"/>
          </w:tcPr>
          <w:p w:rsidR="00776736" w:rsidRDefault="00776736" w:rsidP="001446F2">
            <w:r>
              <w:t>Description</w:t>
            </w:r>
          </w:p>
        </w:tc>
        <w:tc>
          <w:tcPr>
            <w:tcW w:w="2430" w:type="dxa"/>
          </w:tcPr>
          <w:p w:rsidR="00776736" w:rsidRDefault="00776736" w:rsidP="001446F2">
            <w:r>
              <w:t>Eligibility</w:t>
            </w:r>
          </w:p>
        </w:tc>
        <w:tc>
          <w:tcPr>
            <w:tcW w:w="2317" w:type="dxa"/>
          </w:tcPr>
          <w:p w:rsidR="00776736" w:rsidRDefault="00776736" w:rsidP="001446F2">
            <w:r>
              <w:t>Length</w:t>
            </w:r>
          </w:p>
        </w:tc>
        <w:tc>
          <w:tcPr>
            <w:tcW w:w="2653" w:type="dxa"/>
          </w:tcPr>
          <w:p w:rsidR="00776736" w:rsidRDefault="00776736" w:rsidP="001446F2">
            <w:r>
              <w:t>Deadline</w:t>
            </w:r>
          </w:p>
        </w:tc>
      </w:tr>
      <w:tr w:rsidR="00ED4F0A" w:rsidTr="008B42F9">
        <w:trPr>
          <w:trHeight w:val="262"/>
        </w:trPr>
        <w:tc>
          <w:tcPr>
            <w:tcW w:w="3262" w:type="dxa"/>
          </w:tcPr>
          <w:p w:rsidR="00ED4F0A" w:rsidRDefault="00E34E78" w:rsidP="00ED4F0A">
            <w:r>
              <w:t>Schwarzman Scholars</w:t>
            </w:r>
          </w:p>
        </w:tc>
        <w:tc>
          <w:tcPr>
            <w:tcW w:w="3663" w:type="dxa"/>
          </w:tcPr>
          <w:p w:rsidR="00ED4F0A" w:rsidRDefault="00E34E78" w:rsidP="00ED4F0A">
            <w:r>
              <w:t>A one-year master’s program in Beijing that supports studies in the disciplines of Public Policy, Economics an</w:t>
            </w:r>
            <w:r w:rsidR="00986405">
              <w:t>d Business, and International St</w:t>
            </w:r>
            <w:r>
              <w:t>udies</w:t>
            </w:r>
          </w:p>
        </w:tc>
        <w:tc>
          <w:tcPr>
            <w:tcW w:w="2430" w:type="dxa"/>
          </w:tcPr>
          <w:p w:rsidR="00ED4F0A" w:rsidRDefault="00E34E78" w:rsidP="00ED4F0A">
            <w:r>
              <w:t>Graduating seniors or alumni between the ages of 18-29</w:t>
            </w:r>
          </w:p>
        </w:tc>
        <w:tc>
          <w:tcPr>
            <w:tcW w:w="2317" w:type="dxa"/>
          </w:tcPr>
          <w:p w:rsidR="00ED4F0A" w:rsidRDefault="00E34E78" w:rsidP="00ED4F0A">
            <w:r>
              <w:t>1 year</w:t>
            </w:r>
          </w:p>
        </w:tc>
        <w:tc>
          <w:tcPr>
            <w:tcW w:w="2653" w:type="dxa"/>
          </w:tcPr>
          <w:p w:rsidR="00ED4F0A" w:rsidRDefault="00E34E78" w:rsidP="00ED4F0A">
            <w:r>
              <w:t>October</w:t>
            </w:r>
          </w:p>
        </w:tc>
      </w:tr>
      <w:tr w:rsidR="008B42F9" w:rsidTr="008B42F9">
        <w:trPr>
          <w:trHeight w:val="248"/>
        </w:trPr>
        <w:tc>
          <w:tcPr>
            <w:tcW w:w="3262" w:type="dxa"/>
          </w:tcPr>
          <w:p w:rsidR="008B42F9" w:rsidRDefault="008B42F9" w:rsidP="008B42F9">
            <w:r>
              <w:t>Fulbright U.S. Student Program</w:t>
            </w:r>
          </w:p>
        </w:tc>
        <w:tc>
          <w:tcPr>
            <w:tcW w:w="3663" w:type="dxa"/>
          </w:tcPr>
          <w:p w:rsidR="008B42F9" w:rsidRDefault="008B42F9" w:rsidP="008B42F9">
            <w:r>
              <w:t>Study/Research Grants, Arts Grants, or English Teaching Assistantships available in over 140 countries</w:t>
            </w:r>
          </w:p>
        </w:tc>
        <w:tc>
          <w:tcPr>
            <w:tcW w:w="2430" w:type="dxa"/>
          </w:tcPr>
          <w:p w:rsidR="008B42F9" w:rsidRDefault="008B42F9" w:rsidP="008B42F9">
            <w:r>
              <w:t>U.S. Citizens; Seniors and graduate students</w:t>
            </w:r>
          </w:p>
        </w:tc>
        <w:tc>
          <w:tcPr>
            <w:tcW w:w="2317" w:type="dxa"/>
          </w:tcPr>
          <w:p w:rsidR="008B42F9" w:rsidRDefault="008B42F9" w:rsidP="008B42F9">
            <w:r>
              <w:t>Approximately 1 year</w:t>
            </w:r>
          </w:p>
        </w:tc>
        <w:tc>
          <w:tcPr>
            <w:tcW w:w="2653" w:type="dxa"/>
          </w:tcPr>
          <w:p w:rsidR="008B42F9" w:rsidRDefault="008B42F9" w:rsidP="008B42F9">
            <w:r>
              <w:t>September campus deadline</w:t>
            </w:r>
          </w:p>
        </w:tc>
      </w:tr>
      <w:tr w:rsidR="008B42F9" w:rsidTr="008B42F9">
        <w:trPr>
          <w:trHeight w:val="248"/>
        </w:trPr>
        <w:tc>
          <w:tcPr>
            <w:tcW w:w="3262" w:type="dxa"/>
          </w:tcPr>
          <w:p w:rsidR="008B42F9" w:rsidRDefault="008B42F9" w:rsidP="008B42F9">
            <w:r>
              <w:t>Critical Language Scholarship</w:t>
            </w:r>
          </w:p>
        </w:tc>
        <w:tc>
          <w:tcPr>
            <w:tcW w:w="3663" w:type="dxa"/>
          </w:tcPr>
          <w:p w:rsidR="008B42F9" w:rsidRDefault="008B42F9" w:rsidP="008B42F9">
            <w:r>
              <w:t>Fully funded summer overseas language and cultural immersion program. Academic credit available.</w:t>
            </w:r>
          </w:p>
        </w:tc>
        <w:tc>
          <w:tcPr>
            <w:tcW w:w="2430" w:type="dxa"/>
          </w:tcPr>
          <w:p w:rsidR="008B42F9" w:rsidRDefault="008B42F9" w:rsidP="008B42F9">
            <w:r>
              <w:t>U.S. citizens at the undergraduate and graduate level</w:t>
            </w:r>
          </w:p>
        </w:tc>
        <w:tc>
          <w:tcPr>
            <w:tcW w:w="2317" w:type="dxa"/>
          </w:tcPr>
          <w:p w:rsidR="008B42F9" w:rsidRDefault="008B42F9" w:rsidP="008B42F9">
            <w:r>
              <w:t>8-10 weeks</w:t>
            </w:r>
          </w:p>
        </w:tc>
        <w:tc>
          <w:tcPr>
            <w:tcW w:w="2653" w:type="dxa"/>
          </w:tcPr>
          <w:p w:rsidR="008B42F9" w:rsidRDefault="008B42F9" w:rsidP="008B42F9">
            <w:r>
              <w:t>November</w:t>
            </w:r>
          </w:p>
        </w:tc>
      </w:tr>
      <w:tr w:rsidR="008B42F9" w:rsidTr="008B42F9">
        <w:trPr>
          <w:trHeight w:val="248"/>
        </w:trPr>
        <w:tc>
          <w:tcPr>
            <w:tcW w:w="3262" w:type="dxa"/>
          </w:tcPr>
          <w:p w:rsidR="008B42F9" w:rsidRDefault="008B42F9" w:rsidP="008B42F9">
            <w:r>
              <w:t>Truman Scholarship</w:t>
            </w:r>
          </w:p>
        </w:tc>
        <w:tc>
          <w:tcPr>
            <w:tcW w:w="3663" w:type="dxa"/>
          </w:tcPr>
          <w:p w:rsidR="008B42F9" w:rsidRDefault="008B42F9" w:rsidP="008B42F9">
            <w:r>
              <w:t>Supports graduate education</w:t>
            </w:r>
          </w:p>
        </w:tc>
        <w:tc>
          <w:tcPr>
            <w:tcW w:w="2430" w:type="dxa"/>
          </w:tcPr>
          <w:p w:rsidR="008B42F9" w:rsidRDefault="008B42F9" w:rsidP="008B42F9">
            <w:r>
              <w:t>U.S. Citizens; Juniors committed to public service careers</w:t>
            </w:r>
          </w:p>
        </w:tc>
        <w:tc>
          <w:tcPr>
            <w:tcW w:w="2317" w:type="dxa"/>
          </w:tcPr>
          <w:p w:rsidR="008B42F9" w:rsidRDefault="008B42F9" w:rsidP="008B42F9">
            <w:r>
              <w:t>Varies, depending on graduate program</w:t>
            </w:r>
          </w:p>
        </w:tc>
        <w:tc>
          <w:tcPr>
            <w:tcW w:w="2653" w:type="dxa"/>
          </w:tcPr>
          <w:p w:rsidR="008B42F9" w:rsidRDefault="008B42F9" w:rsidP="008B42F9">
            <w:r>
              <w:t>November campus deadline</w:t>
            </w:r>
          </w:p>
        </w:tc>
      </w:tr>
      <w:tr w:rsidR="008B42F9" w:rsidTr="008B42F9">
        <w:trPr>
          <w:trHeight w:val="248"/>
        </w:trPr>
        <w:tc>
          <w:tcPr>
            <w:tcW w:w="3262" w:type="dxa"/>
          </w:tcPr>
          <w:p w:rsidR="008B42F9" w:rsidRDefault="008B42F9" w:rsidP="008B42F9">
            <w:r>
              <w:t>Boren Awards</w:t>
            </w:r>
          </w:p>
        </w:tc>
        <w:tc>
          <w:tcPr>
            <w:tcW w:w="3663" w:type="dxa"/>
          </w:tcPr>
          <w:p w:rsidR="008B42F9" w:rsidRDefault="008B42F9" w:rsidP="008B42F9">
            <w:r>
              <w:t>For undergraduate or graduate study in non-Western countries for a project that furthers U.S. national security interests. Requires language study as part of the program plus one year of NSEP government service post-award.</w:t>
            </w:r>
          </w:p>
        </w:tc>
        <w:tc>
          <w:tcPr>
            <w:tcW w:w="2430" w:type="dxa"/>
          </w:tcPr>
          <w:p w:rsidR="008B42F9" w:rsidRDefault="008B42F9" w:rsidP="008B42F9">
            <w:r>
              <w:t>U.S. Citizens; any field of study</w:t>
            </w:r>
          </w:p>
        </w:tc>
        <w:tc>
          <w:tcPr>
            <w:tcW w:w="2317" w:type="dxa"/>
          </w:tcPr>
          <w:p w:rsidR="008B42F9" w:rsidRDefault="008B42F9" w:rsidP="008B42F9">
            <w:r>
              <w:t>3-24 months</w:t>
            </w:r>
          </w:p>
        </w:tc>
        <w:tc>
          <w:tcPr>
            <w:tcW w:w="2653" w:type="dxa"/>
          </w:tcPr>
          <w:p w:rsidR="008B42F9" w:rsidRDefault="008B42F9" w:rsidP="008B42F9">
            <w:r>
              <w:t>January campus deadline</w:t>
            </w:r>
          </w:p>
        </w:tc>
      </w:tr>
      <w:tr w:rsidR="008B42F9" w:rsidTr="008B42F9">
        <w:trPr>
          <w:trHeight w:val="262"/>
        </w:trPr>
        <w:tc>
          <w:tcPr>
            <w:tcW w:w="3262" w:type="dxa"/>
          </w:tcPr>
          <w:p w:rsidR="008B42F9" w:rsidRDefault="008B42F9" w:rsidP="008B42F9">
            <w:r>
              <w:t>German Academic Exchange Service (DAAD)</w:t>
            </w:r>
          </w:p>
        </w:tc>
        <w:tc>
          <w:tcPr>
            <w:tcW w:w="3663" w:type="dxa"/>
          </w:tcPr>
          <w:p w:rsidR="008B42F9" w:rsidRDefault="008B42F9" w:rsidP="008B42F9">
            <w:r>
              <w:t>Opportunities for undergraduate, graduate, and professional study and/or research in Germany, including short-term placements in government, business, &amp; policy positions</w:t>
            </w:r>
          </w:p>
        </w:tc>
        <w:tc>
          <w:tcPr>
            <w:tcW w:w="2430" w:type="dxa"/>
          </w:tcPr>
          <w:p w:rsidR="008B42F9" w:rsidRDefault="008B42F9" w:rsidP="008B42F9">
            <w:r>
              <w:t>U.S. and international students. Language requirements vary.</w:t>
            </w:r>
          </w:p>
        </w:tc>
        <w:tc>
          <w:tcPr>
            <w:tcW w:w="2317" w:type="dxa"/>
          </w:tcPr>
          <w:p w:rsidR="008B42F9" w:rsidRDefault="008B42F9" w:rsidP="008B42F9">
            <w:r>
              <w:t>Varies</w:t>
            </w:r>
          </w:p>
        </w:tc>
        <w:tc>
          <w:tcPr>
            <w:tcW w:w="2653" w:type="dxa"/>
          </w:tcPr>
          <w:p w:rsidR="008B42F9" w:rsidRDefault="008B42F9" w:rsidP="008B42F9">
            <w:r>
              <w:t>Varies by program</w:t>
            </w:r>
          </w:p>
        </w:tc>
      </w:tr>
    </w:tbl>
    <w:p w:rsidR="00B70332" w:rsidRDefault="00B70332" w:rsidP="001446F2"/>
    <w:p w:rsidR="00B70332" w:rsidRDefault="00B70332" w:rsidP="00B70332">
      <w:r>
        <w:lastRenderedPageBreak/>
        <w:t>Other Opportunities</w:t>
      </w:r>
    </w:p>
    <w:p w:rsidR="00B70332" w:rsidRDefault="00B70332" w:rsidP="00B70332">
      <w:r>
        <w:t xml:space="preserve">There are many other great opportunities for students in </w:t>
      </w:r>
      <w:r w:rsidR="00E34E78">
        <w:t>Business</w:t>
      </w:r>
      <w:r>
        <w:t xml:space="preserve">. We encourage you to read about these programs and seek faculty or staff in your college with experience or knowledge of these awards. </w:t>
      </w:r>
    </w:p>
    <w:tbl>
      <w:tblPr>
        <w:tblStyle w:val="TableGrid"/>
        <w:tblW w:w="14325" w:type="dxa"/>
        <w:tblLook w:val="04A0" w:firstRow="1" w:lastRow="0" w:firstColumn="1" w:lastColumn="0" w:noHBand="0" w:noVBand="1"/>
      </w:tblPr>
      <w:tblGrid>
        <w:gridCol w:w="3262"/>
        <w:gridCol w:w="3123"/>
        <w:gridCol w:w="2448"/>
        <w:gridCol w:w="2839"/>
        <w:gridCol w:w="2653"/>
      </w:tblGrid>
      <w:tr w:rsidR="00B70332" w:rsidTr="00535DB2">
        <w:trPr>
          <w:trHeight w:val="262"/>
        </w:trPr>
        <w:tc>
          <w:tcPr>
            <w:tcW w:w="3262" w:type="dxa"/>
          </w:tcPr>
          <w:p w:rsidR="00B70332" w:rsidRDefault="00B70332" w:rsidP="00F24A6D">
            <w:r>
              <w:t>Award</w:t>
            </w:r>
          </w:p>
        </w:tc>
        <w:tc>
          <w:tcPr>
            <w:tcW w:w="3123" w:type="dxa"/>
          </w:tcPr>
          <w:p w:rsidR="00B70332" w:rsidRDefault="00B70332" w:rsidP="00F24A6D">
            <w:r>
              <w:t>Description</w:t>
            </w:r>
          </w:p>
        </w:tc>
        <w:tc>
          <w:tcPr>
            <w:tcW w:w="2448" w:type="dxa"/>
          </w:tcPr>
          <w:p w:rsidR="00B70332" w:rsidRDefault="00B70332" w:rsidP="00F24A6D">
            <w:r>
              <w:t>Eligibility</w:t>
            </w:r>
          </w:p>
        </w:tc>
        <w:tc>
          <w:tcPr>
            <w:tcW w:w="2839" w:type="dxa"/>
          </w:tcPr>
          <w:p w:rsidR="00B70332" w:rsidRDefault="00B70332" w:rsidP="00F24A6D">
            <w:r>
              <w:t>Length</w:t>
            </w:r>
          </w:p>
        </w:tc>
        <w:tc>
          <w:tcPr>
            <w:tcW w:w="2653" w:type="dxa"/>
          </w:tcPr>
          <w:p w:rsidR="00B70332" w:rsidRDefault="00B70332" w:rsidP="00F24A6D">
            <w:r>
              <w:t>Deadline</w:t>
            </w:r>
          </w:p>
        </w:tc>
      </w:tr>
      <w:tr w:rsidR="00B70332" w:rsidTr="00535DB2">
        <w:trPr>
          <w:trHeight w:val="248"/>
        </w:trPr>
        <w:tc>
          <w:tcPr>
            <w:tcW w:w="3262" w:type="dxa"/>
          </w:tcPr>
          <w:p w:rsidR="00B70332" w:rsidRDefault="00E34E78" w:rsidP="00F24A6D">
            <w:r>
              <w:t xml:space="preserve">AICPA </w:t>
            </w:r>
            <w:proofErr w:type="spellStart"/>
            <w:r>
              <w:t>Accountemps</w:t>
            </w:r>
            <w:proofErr w:type="spellEnd"/>
            <w:r>
              <w:t xml:space="preserve"> Scholarship</w:t>
            </w:r>
          </w:p>
        </w:tc>
        <w:tc>
          <w:tcPr>
            <w:tcW w:w="3123" w:type="dxa"/>
          </w:tcPr>
          <w:p w:rsidR="00B70332" w:rsidRDefault="00986405" w:rsidP="00F24A6D">
            <w:r>
              <w:t>$10,000 scholarships based on outstanding academic achievement, leadership activities, and future career interests</w:t>
            </w:r>
          </w:p>
        </w:tc>
        <w:tc>
          <w:tcPr>
            <w:tcW w:w="2448" w:type="dxa"/>
          </w:tcPr>
          <w:p w:rsidR="00B70332" w:rsidRDefault="00986405" w:rsidP="007D3F69">
            <w:r>
              <w:t>Undergraduate or graduate students in an “accounting-related” major</w:t>
            </w:r>
            <w:r w:rsidR="00F117E1">
              <w:t xml:space="preserve"> with a 3.0+ GPA.</w:t>
            </w:r>
          </w:p>
        </w:tc>
        <w:tc>
          <w:tcPr>
            <w:tcW w:w="2839" w:type="dxa"/>
          </w:tcPr>
          <w:p w:rsidR="00B70332" w:rsidRDefault="00986405" w:rsidP="00F24A6D">
            <w:r>
              <w:t>Varies</w:t>
            </w:r>
          </w:p>
        </w:tc>
        <w:tc>
          <w:tcPr>
            <w:tcW w:w="2653" w:type="dxa"/>
          </w:tcPr>
          <w:p w:rsidR="00B70332" w:rsidRDefault="00986405" w:rsidP="00F24A6D">
            <w:r>
              <w:t>April</w:t>
            </w:r>
          </w:p>
        </w:tc>
      </w:tr>
      <w:tr w:rsidR="00F117E1" w:rsidTr="00535DB2">
        <w:trPr>
          <w:trHeight w:val="248"/>
        </w:trPr>
        <w:tc>
          <w:tcPr>
            <w:tcW w:w="3262" w:type="dxa"/>
          </w:tcPr>
          <w:p w:rsidR="00F117E1" w:rsidRDefault="00F117E1" w:rsidP="00F24A6D">
            <w:r>
              <w:t>AICPA Scholarship for Minority Accounting Students</w:t>
            </w:r>
          </w:p>
        </w:tc>
        <w:tc>
          <w:tcPr>
            <w:tcW w:w="3123" w:type="dxa"/>
          </w:tcPr>
          <w:p w:rsidR="00F117E1" w:rsidRDefault="00F117E1" w:rsidP="00F24A6D">
            <w:r>
              <w:t>Supports minority students who plan to pursue the CPA licensure.</w:t>
            </w:r>
          </w:p>
        </w:tc>
        <w:tc>
          <w:tcPr>
            <w:tcW w:w="2448" w:type="dxa"/>
          </w:tcPr>
          <w:p w:rsidR="00F117E1" w:rsidRDefault="00F117E1" w:rsidP="00F117E1">
            <w:r>
              <w:t>U.S. Citizen or Permanent Resident and underrepresented minority student pursuing full-time study with a 3.0+ GPA.</w:t>
            </w:r>
          </w:p>
        </w:tc>
        <w:tc>
          <w:tcPr>
            <w:tcW w:w="2839" w:type="dxa"/>
          </w:tcPr>
          <w:p w:rsidR="00F117E1" w:rsidRDefault="00F117E1" w:rsidP="00F24A6D">
            <w:r>
              <w:t>Varies</w:t>
            </w:r>
          </w:p>
        </w:tc>
        <w:tc>
          <w:tcPr>
            <w:tcW w:w="2653" w:type="dxa"/>
          </w:tcPr>
          <w:p w:rsidR="00F117E1" w:rsidRDefault="00F117E1" w:rsidP="00F24A6D">
            <w:r>
              <w:t>April</w:t>
            </w:r>
          </w:p>
        </w:tc>
      </w:tr>
      <w:tr w:rsidR="007D3F69" w:rsidTr="00535DB2">
        <w:trPr>
          <w:trHeight w:val="262"/>
        </w:trPr>
        <w:tc>
          <w:tcPr>
            <w:tcW w:w="3262" w:type="dxa"/>
          </w:tcPr>
          <w:p w:rsidR="007D3F69" w:rsidRDefault="00E34E78" w:rsidP="007D3F69">
            <w:proofErr w:type="spellStart"/>
            <w:r>
              <w:t>Zonta</w:t>
            </w:r>
            <w:proofErr w:type="spellEnd"/>
            <w:r>
              <w:t xml:space="preserve"> International Jane M. </w:t>
            </w:r>
            <w:proofErr w:type="spellStart"/>
            <w:r>
              <w:t>Klausman</w:t>
            </w:r>
            <w:proofErr w:type="spellEnd"/>
            <w:r>
              <w:t xml:space="preserve"> Women in Business Scholarships</w:t>
            </w:r>
          </w:p>
        </w:tc>
        <w:tc>
          <w:tcPr>
            <w:tcW w:w="3123" w:type="dxa"/>
          </w:tcPr>
          <w:p w:rsidR="007D3F69" w:rsidRDefault="00986405" w:rsidP="007D3F69">
            <w:r>
              <w:t>Scholarships available at the local, multi-state district, and international level</w:t>
            </w:r>
          </w:p>
        </w:tc>
        <w:tc>
          <w:tcPr>
            <w:tcW w:w="2448" w:type="dxa"/>
          </w:tcPr>
          <w:p w:rsidR="007D3F69" w:rsidRDefault="00986405" w:rsidP="007D3F69">
            <w:r>
              <w:t>College women enrolled in at least the second year of an undergraduate program through the final year of a Master’s program in business</w:t>
            </w:r>
          </w:p>
        </w:tc>
        <w:tc>
          <w:tcPr>
            <w:tcW w:w="2839" w:type="dxa"/>
          </w:tcPr>
          <w:p w:rsidR="007D3F69" w:rsidRDefault="00986405" w:rsidP="007D3F69">
            <w:r>
              <w:t>Varies</w:t>
            </w:r>
          </w:p>
        </w:tc>
        <w:tc>
          <w:tcPr>
            <w:tcW w:w="2653" w:type="dxa"/>
          </w:tcPr>
          <w:p w:rsidR="007D3F69" w:rsidRDefault="00986405" w:rsidP="007D3F69">
            <w:r>
              <w:t>April</w:t>
            </w:r>
          </w:p>
        </w:tc>
      </w:tr>
      <w:tr w:rsidR="00B70332" w:rsidTr="00535DB2">
        <w:trPr>
          <w:trHeight w:val="248"/>
        </w:trPr>
        <w:tc>
          <w:tcPr>
            <w:tcW w:w="3262" w:type="dxa"/>
          </w:tcPr>
          <w:p w:rsidR="00B70332" w:rsidRDefault="00E34E78" w:rsidP="00F24A6D">
            <w:r>
              <w:t>Congress-Bundestag Youth Exchange (CBYX) for Young Professionals</w:t>
            </w:r>
          </w:p>
        </w:tc>
        <w:tc>
          <w:tcPr>
            <w:tcW w:w="3123" w:type="dxa"/>
          </w:tcPr>
          <w:p w:rsidR="00B70332" w:rsidRDefault="00986405" w:rsidP="00F24A6D">
            <w:r>
              <w:t>Full-year work-study scholarship in Germany including intensive language study, university coursework and internship</w:t>
            </w:r>
          </w:p>
        </w:tc>
        <w:tc>
          <w:tcPr>
            <w:tcW w:w="2448" w:type="dxa"/>
          </w:tcPr>
          <w:p w:rsidR="00B70332" w:rsidRDefault="00986405" w:rsidP="00F85A73">
            <w:r>
              <w:t>U.S. Citizens or Permanent Residents of 18-24 years of age. German language skills preferred by not required</w:t>
            </w:r>
          </w:p>
        </w:tc>
        <w:tc>
          <w:tcPr>
            <w:tcW w:w="2839" w:type="dxa"/>
          </w:tcPr>
          <w:p w:rsidR="00B70332" w:rsidRDefault="00986405" w:rsidP="00F24A6D">
            <w:r>
              <w:t>One Year</w:t>
            </w:r>
          </w:p>
        </w:tc>
        <w:tc>
          <w:tcPr>
            <w:tcW w:w="2653" w:type="dxa"/>
          </w:tcPr>
          <w:p w:rsidR="00B70332" w:rsidRDefault="00986405" w:rsidP="00F24A6D">
            <w:r>
              <w:t>December</w:t>
            </w:r>
          </w:p>
        </w:tc>
      </w:tr>
    </w:tbl>
    <w:p w:rsidR="001446F2" w:rsidRDefault="001446F2" w:rsidP="001446F2"/>
    <w:sectPr w:rsidR="001446F2" w:rsidSect="007F022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F2"/>
    <w:rsid w:val="001446F2"/>
    <w:rsid w:val="00206DBD"/>
    <w:rsid w:val="0021155B"/>
    <w:rsid w:val="00214F70"/>
    <w:rsid w:val="002C5D1F"/>
    <w:rsid w:val="0033516C"/>
    <w:rsid w:val="00535DB2"/>
    <w:rsid w:val="00540161"/>
    <w:rsid w:val="00612EAA"/>
    <w:rsid w:val="00690479"/>
    <w:rsid w:val="006D1030"/>
    <w:rsid w:val="006E6471"/>
    <w:rsid w:val="007544B5"/>
    <w:rsid w:val="00776736"/>
    <w:rsid w:val="007D3F69"/>
    <w:rsid w:val="007E4FEC"/>
    <w:rsid w:val="007F022D"/>
    <w:rsid w:val="008B42F9"/>
    <w:rsid w:val="008C08E1"/>
    <w:rsid w:val="00986405"/>
    <w:rsid w:val="00A42904"/>
    <w:rsid w:val="00AB7E0F"/>
    <w:rsid w:val="00B70332"/>
    <w:rsid w:val="00D70C92"/>
    <w:rsid w:val="00E34E78"/>
    <w:rsid w:val="00ED4F0A"/>
    <w:rsid w:val="00F117E1"/>
    <w:rsid w:val="00F24273"/>
    <w:rsid w:val="00F630E3"/>
    <w:rsid w:val="00F85A73"/>
    <w:rsid w:val="00F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1023D-0BE5-46D0-947A-462B522F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46F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76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ellowships@mnsu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nsu.edu/fellowship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07035-9485-49D1-AEAD-F1FBC0671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MSU, Mankato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Walters, Giovanna E</dc:creator>
  <cp:keywords/>
  <dc:description/>
  <cp:lastModifiedBy>Arbuckle, Kathryn Scott</cp:lastModifiedBy>
  <cp:revision>5</cp:revision>
  <dcterms:created xsi:type="dcterms:W3CDTF">2017-02-08T21:35:00Z</dcterms:created>
  <dcterms:modified xsi:type="dcterms:W3CDTF">2017-02-16T21:31:00Z</dcterms:modified>
</cp:coreProperties>
</file>