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BACB7" w14:textId="77777777" w:rsidR="00A71BE0" w:rsidRPr="00904D40" w:rsidRDefault="00A71BE0" w:rsidP="00410013">
      <w:pPr>
        <w:pStyle w:val="PlainText"/>
        <w:tabs>
          <w:tab w:val="left" w:pos="360"/>
        </w:tabs>
        <w:ind w:left="360" w:hanging="360"/>
        <w:jc w:val="center"/>
        <w:outlineLvl w:val="0"/>
        <w:rPr>
          <w:rFonts w:ascii="Times New Roman" w:hAnsi="Times New Roman" w:cs="Times New Roman"/>
          <w:b/>
          <w:sz w:val="22"/>
          <w:szCs w:val="22"/>
        </w:rPr>
      </w:pPr>
      <w:r w:rsidRPr="00904D40">
        <w:rPr>
          <w:rFonts w:ascii="Times New Roman" w:hAnsi="Times New Roman" w:cs="Times New Roman"/>
          <w:b/>
          <w:sz w:val="22"/>
          <w:szCs w:val="22"/>
        </w:rPr>
        <w:t>Co-Curricular/Service Unit &amp; Programs</w:t>
      </w:r>
    </w:p>
    <w:p w14:paraId="6ABDB5F4" w14:textId="33B92ABD" w:rsidR="003B3C54" w:rsidRDefault="00F86B57" w:rsidP="00410013">
      <w:pPr>
        <w:pStyle w:val="PlainText"/>
        <w:tabs>
          <w:tab w:val="left" w:pos="360"/>
        </w:tabs>
        <w:ind w:left="360" w:hanging="360"/>
        <w:jc w:val="center"/>
        <w:outlineLvl w:val="0"/>
        <w:rPr>
          <w:rFonts w:ascii="Times New Roman" w:hAnsi="Times New Roman" w:cs="Times New Roman"/>
          <w:sz w:val="22"/>
          <w:szCs w:val="22"/>
        </w:rPr>
      </w:pPr>
      <w:r w:rsidRPr="00F86B57">
        <w:rPr>
          <w:rFonts w:ascii="Times New Roman" w:hAnsi="Times New Roman" w:cs="Times New Roman"/>
          <w:b/>
          <w:sz w:val="22"/>
          <w:szCs w:val="22"/>
        </w:rPr>
        <w:t>201</w:t>
      </w:r>
      <w:r w:rsidR="00D22504">
        <w:rPr>
          <w:rFonts w:ascii="Times New Roman" w:hAnsi="Times New Roman" w:cs="Times New Roman"/>
          <w:b/>
          <w:sz w:val="22"/>
          <w:szCs w:val="22"/>
        </w:rPr>
        <w:t>8</w:t>
      </w:r>
      <w:r w:rsidRPr="00F86B57">
        <w:rPr>
          <w:rFonts w:ascii="Times New Roman" w:hAnsi="Times New Roman" w:cs="Times New Roman"/>
          <w:b/>
          <w:sz w:val="22"/>
          <w:szCs w:val="22"/>
        </w:rPr>
        <w:t>-1</w:t>
      </w:r>
      <w:r w:rsidR="00D22504">
        <w:rPr>
          <w:rFonts w:ascii="Times New Roman" w:hAnsi="Times New Roman" w:cs="Times New Roman"/>
          <w:b/>
          <w:sz w:val="22"/>
          <w:szCs w:val="22"/>
        </w:rPr>
        <w:t>9</w:t>
      </w:r>
      <w:r w:rsidR="004C5706">
        <w:rPr>
          <w:rFonts w:ascii="Times New Roman" w:hAnsi="Times New Roman" w:cs="Times New Roman"/>
          <w:sz w:val="22"/>
          <w:szCs w:val="22"/>
        </w:rPr>
        <w:t xml:space="preserve"> </w:t>
      </w:r>
      <w:r w:rsidR="004C5706" w:rsidRPr="00904D40">
        <w:rPr>
          <w:rFonts w:ascii="Times New Roman" w:hAnsi="Times New Roman" w:cs="Times New Roman"/>
          <w:b/>
          <w:sz w:val="22"/>
          <w:szCs w:val="22"/>
        </w:rPr>
        <w:t xml:space="preserve">Annual Report </w:t>
      </w:r>
    </w:p>
    <w:p w14:paraId="0AFA4ACE" w14:textId="77777777" w:rsidR="00A71BE0" w:rsidRDefault="00A71BE0" w:rsidP="00410013">
      <w:pPr>
        <w:pStyle w:val="PlainText"/>
        <w:tabs>
          <w:tab w:val="left" w:pos="360"/>
        </w:tabs>
        <w:ind w:left="360" w:hanging="360"/>
        <w:jc w:val="center"/>
        <w:outlineLvl w:val="0"/>
        <w:rPr>
          <w:rFonts w:ascii="Times New Roman" w:hAnsi="Times New Roman" w:cs="Times New Roman"/>
          <w:sz w:val="22"/>
          <w:szCs w:val="22"/>
        </w:rPr>
      </w:pPr>
    </w:p>
    <w:p w14:paraId="3F14694C" w14:textId="77777777" w:rsidR="004C5706" w:rsidRDefault="004C5706" w:rsidP="00410013">
      <w:pPr>
        <w:pStyle w:val="PlainText"/>
        <w:tabs>
          <w:tab w:val="left" w:pos="360"/>
        </w:tabs>
        <w:ind w:left="360" w:hanging="360"/>
        <w:jc w:val="center"/>
        <w:outlineLvl w:val="0"/>
        <w:rPr>
          <w:rFonts w:ascii="Times New Roman" w:hAnsi="Times New Roman" w:cs="Times New Roman"/>
          <w:sz w:val="22"/>
          <w:szCs w:val="22"/>
        </w:rPr>
      </w:pPr>
      <w:r>
        <w:rPr>
          <w:rFonts w:ascii="Times New Roman" w:hAnsi="Times New Roman" w:cs="Times New Roman"/>
          <w:sz w:val="22"/>
          <w:szCs w:val="22"/>
        </w:rPr>
        <w:t>Minnesota State University, Mankato</w:t>
      </w:r>
    </w:p>
    <w:p w14:paraId="0D1865C0" w14:textId="77777777" w:rsidR="004C5706" w:rsidRPr="005B073A" w:rsidRDefault="004C5706" w:rsidP="00410013">
      <w:pPr>
        <w:pStyle w:val="PlainText"/>
        <w:tabs>
          <w:tab w:val="left" w:pos="360"/>
        </w:tabs>
        <w:ind w:left="360" w:hanging="360"/>
        <w:jc w:val="center"/>
        <w:outlineLvl w:val="0"/>
        <w:rPr>
          <w:rFonts w:ascii="Times New Roman" w:hAnsi="Times New Roman" w:cs="Times New Roman"/>
          <w:sz w:val="22"/>
          <w:szCs w:val="22"/>
        </w:rPr>
      </w:pPr>
    </w:p>
    <w:p w14:paraId="1932BBA1" w14:textId="711D7F91" w:rsidR="00BF0893" w:rsidRDefault="003F527E" w:rsidP="00BF0893">
      <w:pPr>
        <w:pStyle w:val="PlainText"/>
        <w:tabs>
          <w:tab w:val="left" w:pos="360"/>
        </w:tabs>
        <w:ind w:left="360" w:hanging="360"/>
        <w:outlineLvl w:val="0"/>
        <w:rPr>
          <w:rFonts w:ascii="Times New Roman" w:hAnsi="Times New Roman" w:cs="Times New Roman"/>
          <w:sz w:val="22"/>
          <w:szCs w:val="22"/>
        </w:rPr>
      </w:pPr>
      <w:r>
        <w:rPr>
          <w:rFonts w:ascii="Times New Roman" w:hAnsi="Times New Roman" w:cs="Times New Roman"/>
          <w:sz w:val="22"/>
          <w:szCs w:val="22"/>
        </w:rPr>
        <w:t>Division</w:t>
      </w:r>
      <w:r w:rsidR="00BF0893">
        <w:rPr>
          <w:rFonts w:ascii="Times New Roman" w:hAnsi="Times New Roman" w:cs="Times New Roman"/>
          <w:sz w:val="22"/>
          <w:szCs w:val="22"/>
        </w:rPr>
        <w:t xml:space="preserve"> </w:t>
      </w:r>
      <w:r w:rsidR="00527A1A">
        <w:rPr>
          <w:rFonts w:ascii="Times New Roman" w:hAnsi="Times New Roman" w:cs="Times New Roman"/>
          <w:sz w:val="22"/>
          <w:szCs w:val="22"/>
        </w:rPr>
        <w:tab/>
      </w:r>
      <w:r w:rsidR="00BF0893" w:rsidRPr="00BF0893">
        <w:rPr>
          <w:rFonts w:ascii="Times New Roman" w:hAnsi="Times New Roman" w:cs="Times New Roman"/>
          <w:sz w:val="22"/>
          <w:szCs w:val="22"/>
          <w:u w:val="single"/>
        </w:rPr>
        <w:t>Academic Affairs</w:t>
      </w:r>
      <w:r>
        <w:rPr>
          <w:rFonts w:ascii="Times New Roman" w:hAnsi="Times New Roman" w:cs="Times New Roman"/>
          <w:sz w:val="22"/>
          <w:szCs w:val="22"/>
        </w:rPr>
        <w:t xml:space="preserve"> </w:t>
      </w:r>
    </w:p>
    <w:p w14:paraId="730DEB3A" w14:textId="5042E9C1" w:rsidR="00BF0893" w:rsidRDefault="004C5706" w:rsidP="00BF0893">
      <w:pPr>
        <w:pStyle w:val="PlainText"/>
        <w:tabs>
          <w:tab w:val="left" w:pos="360"/>
        </w:tabs>
        <w:ind w:left="360" w:hanging="360"/>
        <w:outlineLvl w:val="0"/>
        <w:rPr>
          <w:rFonts w:ascii="Times New Roman" w:hAnsi="Times New Roman" w:cs="Times New Roman"/>
          <w:sz w:val="22"/>
          <w:szCs w:val="22"/>
        </w:rPr>
      </w:pPr>
      <w:r>
        <w:rPr>
          <w:rFonts w:ascii="Times New Roman" w:hAnsi="Times New Roman" w:cs="Times New Roman"/>
          <w:sz w:val="22"/>
          <w:szCs w:val="22"/>
        </w:rPr>
        <w:t>Unit/Pr</w:t>
      </w:r>
      <w:r w:rsidR="00904D40">
        <w:rPr>
          <w:rFonts w:ascii="Times New Roman" w:hAnsi="Times New Roman" w:cs="Times New Roman"/>
          <w:sz w:val="22"/>
          <w:szCs w:val="22"/>
        </w:rPr>
        <w:t>ogram</w:t>
      </w:r>
      <w:r w:rsidR="00527A1A" w:rsidRPr="00527A1A">
        <w:rPr>
          <w:rFonts w:ascii="Times New Roman" w:hAnsi="Times New Roman" w:cs="Times New Roman"/>
          <w:sz w:val="22"/>
          <w:szCs w:val="22"/>
        </w:rPr>
        <w:tab/>
      </w:r>
      <w:r w:rsidR="00BF0893">
        <w:rPr>
          <w:rFonts w:ascii="Times New Roman" w:hAnsi="Times New Roman" w:cs="Times New Roman"/>
          <w:sz w:val="22"/>
          <w:szCs w:val="22"/>
          <w:u w:val="single"/>
        </w:rPr>
        <w:t>Center for Excellence in Teaching &amp; Learning (CETL)</w:t>
      </w:r>
      <w:r w:rsidR="00904D40">
        <w:rPr>
          <w:rFonts w:ascii="Times New Roman" w:hAnsi="Times New Roman" w:cs="Times New Roman"/>
          <w:sz w:val="22"/>
          <w:szCs w:val="22"/>
        </w:rPr>
        <w:t xml:space="preserve">   </w:t>
      </w:r>
    </w:p>
    <w:p w14:paraId="7C0421C1" w14:textId="6FC18862" w:rsidR="004C5706" w:rsidRDefault="00904D40" w:rsidP="00BF0893">
      <w:pPr>
        <w:pStyle w:val="PlainText"/>
        <w:tabs>
          <w:tab w:val="left" w:pos="360"/>
        </w:tabs>
        <w:ind w:left="360" w:hanging="360"/>
        <w:outlineLvl w:val="0"/>
        <w:rPr>
          <w:rFonts w:ascii="Times New Roman" w:hAnsi="Times New Roman" w:cs="Times New Roman"/>
          <w:sz w:val="22"/>
          <w:szCs w:val="22"/>
        </w:rPr>
      </w:pPr>
      <w:r>
        <w:rPr>
          <w:rFonts w:ascii="Times New Roman" w:hAnsi="Times New Roman" w:cs="Times New Roman"/>
          <w:sz w:val="22"/>
          <w:szCs w:val="22"/>
        </w:rPr>
        <w:t>Date</w:t>
      </w:r>
      <w:r w:rsidR="00BF0893">
        <w:rPr>
          <w:rFonts w:ascii="Times New Roman" w:hAnsi="Times New Roman" w:cs="Times New Roman"/>
          <w:sz w:val="22"/>
          <w:szCs w:val="22"/>
        </w:rPr>
        <w:t xml:space="preserve"> </w:t>
      </w:r>
      <w:r w:rsidR="00527A1A">
        <w:rPr>
          <w:rFonts w:ascii="Times New Roman" w:hAnsi="Times New Roman" w:cs="Times New Roman"/>
          <w:sz w:val="22"/>
          <w:szCs w:val="22"/>
        </w:rPr>
        <w:tab/>
      </w:r>
      <w:r w:rsidR="00527A1A">
        <w:rPr>
          <w:rFonts w:ascii="Times New Roman" w:hAnsi="Times New Roman" w:cs="Times New Roman"/>
          <w:sz w:val="22"/>
          <w:szCs w:val="22"/>
        </w:rPr>
        <w:tab/>
      </w:r>
      <w:r w:rsidR="00E852A5">
        <w:rPr>
          <w:rFonts w:ascii="Times New Roman" w:hAnsi="Times New Roman" w:cs="Times New Roman"/>
          <w:sz w:val="22"/>
          <w:szCs w:val="22"/>
          <w:u w:val="single"/>
        </w:rPr>
        <w:t>2020-04-06</w:t>
      </w:r>
    </w:p>
    <w:p w14:paraId="458FF35B" w14:textId="77777777" w:rsidR="003B3C54" w:rsidRPr="005B073A" w:rsidRDefault="003B3C54" w:rsidP="00FF40E3">
      <w:pPr>
        <w:pStyle w:val="PlainText"/>
        <w:tabs>
          <w:tab w:val="left" w:pos="360"/>
        </w:tabs>
        <w:ind w:left="360" w:hanging="360"/>
        <w:jc w:val="center"/>
        <w:rPr>
          <w:rFonts w:ascii="Times New Roman" w:hAnsi="Times New Roman" w:cs="Times New Roman"/>
          <w:sz w:val="22"/>
          <w:szCs w:val="22"/>
        </w:rPr>
      </w:pPr>
    </w:p>
    <w:p w14:paraId="3E77C8D8" w14:textId="1A6F775E" w:rsidR="00E84096" w:rsidRPr="00015CE2" w:rsidRDefault="003B3C54" w:rsidP="00BA1623">
      <w:pPr>
        <w:pStyle w:val="Heading1"/>
        <w:numPr>
          <w:ilvl w:val="0"/>
          <w:numId w:val="1"/>
        </w:numPr>
        <w:ind w:left="360" w:hanging="270"/>
      </w:pPr>
      <w:r w:rsidRPr="00015CE2">
        <w:t xml:space="preserve">Executive </w:t>
      </w:r>
      <w:r w:rsidR="00D069CF" w:rsidRPr="00015CE2">
        <w:t>summary/</w:t>
      </w:r>
      <w:r w:rsidRPr="00015CE2">
        <w:t xml:space="preserve">reflection:  </w:t>
      </w:r>
      <w:r w:rsidR="00FF40E3" w:rsidRPr="00015CE2">
        <w:t>250-300 words,</w:t>
      </w:r>
      <w:r w:rsidRPr="00015CE2">
        <w:t xml:space="preserve"> paragraph style</w:t>
      </w:r>
      <w:r w:rsidR="00090CA7" w:rsidRPr="00015CE2">
        <w:t xml:space="preserve"> </w:t>
      </w:r>
      <w:r w:rsidRPr="00015CE2">
        <w:t xml:space="preserve"> </w:t>
      </w:r>
    </w:p>
    <w:p w14:paraId="7082D698" w14:textId="77777777" w:rsidR="008549C3" w:rsidRDefault="008549C3" w:rsidP="007574FA">
      <w:pPr>
        <w:pStyle w:val="PlainText"/>
        <w:tabs>
          <w:tab w:val="left" w:pos="360"/>
        </w:tabs>
        <w:rPr>
          <w:rFonts w:ascii="Times New Roman" w:hAnsi="Times New Roman" w:cs="Times New Roman"/>
          <w:sz w:val="22"/>
          <w:szCs w:val="22"/>
        </w:rPr>
      </w:pPr>
    </w:p>
    <w:p w14:paraId="40CE219E" w14:textId="77777777" w:rsidR="00A71CB2" w:rsidRDefault="002C063D" w:rsidP="00A92AD3">
      <w:r>
        <w:t>P</w:t>
      </w:r>
      <w:r w:rsidR="006414D6">
        <w:t>articipation at</w:t>
      </w:r>
      <w:r w:rsidR="008549C3">
        <w:t xml:space="preserve"> CETL events</w:t>
      </w:r>
      <w:r>
        <w:t xml:space="preserve"> declined for a third year,</w:t>
      </w:r>
      <w:r w:rsidR="00A71CB2">
        <w:t xml:space="preserve"> but we attribute this year’s decline to our focus on </w:t>
      </w:r>
      <w:r w:rsidR="00E5638A">
        <w:t>targeted support</w:t>
      </w:r>
      <w:r w:rsidR="00A71CB2">
        <w:t xml:space="preserve"> and asynchronous materials</w:t>
      </w:r>
      <w:r w:rsidR="00E5638A">
        <w:t>. Potential student impact</w:t>
      </w:r>
      <w:r w:rsidR="00A71CB2">
        <w:t xml:space="preserve"> (measured by number of students enrolled in courses taught by participants)</w:t>
      </w:r>
      <w:r w:rsidR="00E5638A">
        <w:t xml:space="preserve"> </w:t>
      </w:r>
      <w:r w:rsidR="00A71CB2">
        <w:t xml:space="preserve">was higher than previous years, which suggests that focusing on departments and colleges may be more effective than open calls that recruit a handful of faculty scattered across the institution. </w:t>
      </w:r>
    </w:p>
    <w:p w14:paraId="10104710" w14:textId="77777777" w:rsidR="00A71CB2" w:rsidRDefault="00A71CB2" w:rsidP="00A92AD3"/>
    <w:p w14:paraId="728F722D" w14:textId="4787C6E9" w:rsidR="00E852A5" w:rsidRDefault="00E852A5" w:rsidP="00A92AD3">
      <w:r>
        <w:t xml:space="preserve">CETL’s curriculum included </w:t>
      </w:r>
      <w:r w:rsidR="00A71CB2">
        <w:t>7</w:t>
      </w:r>
      <w:r>
        <w:t xml:space="preserve"> professional learning communities</w:t>
      </w:r>
      <w:r w:rsidR="00223F03">
        <w:t xml:space="preserve"> (PLCs)</w:t>
      </w:r>
      <w:r>
        <w:t xml:space="preserve">, </w:t>
      </w:r>
      <w:r w:rsidR="00A71CB2">
        <w:t>3</w:t>
      </w:r>
      <w:r>
        <w:t xml:space="preserve"> workshop</w:t>
      </w:r>
      <w:r w:rsidR="00A71CB2">
        <w:t>s/series</w:t>
      </w:r>
      <w:r>
        <w:t xml:space="preserve">, 2 marquee events, a year-long mini grant cohort, </w:t>
      </w:r>
      <w:r w:rsidR="00F86985">
        <w:t xml:space="preserve">an asynchronous online training, </w:t>
      </w:r>
      <w:r w:rsidR="00223F03">
        <w:t>and</w:t>
      </w:r>
      <w:r>
        <w:t xml:space="preserve"> individual consultations. The number of SCOT observations, peer mentoring, and teaching observations continued to decline</w:t>
      </w:r>
      <w:r w:rsidR="00223F03">
        <w:t>, probably</w:t>
      </w:r>
      <w:r>
        <w:t xml:space="preserve"> </w:t>
      </w:r>
      <w:r w:rsidR="00223F03">
        <w:t>because of</w:t>
      </w:r>
      <w:r>
        <w:t xml:space="preserve"> less promotion. </w:t>
      </w:r>
    </w:p>
    <w:p w14:paraId="06F1643D" w14:textId="759F3CA4" w:rsidR="00223F03" w:rsidRDefault="00223F03" w:rsidP="00A92AD3"/>
    <w:p w14:paraId="78E66087" w14:textId="4D990249" w:rsidR="00223F03" w:rsidRDefault="00223F03" w:rsidP="00223F03">
      <w:pPr>
        <w:tabs>
          <w:tab w:val="left" w:pos="360"/>
        </w:tabs>
      </w:pPr>
      <w:r>
        <w:t xml:space="preserve">After two years of scheduling events </w:t>
      </w:r>
      <w:r w:rsidRPr="00A92AD3">
        <w:rPr>
          <w:i/>
        </w:rPr>
        <w:t xml:space="preserve">after </w:t>
      </w:r>
      <w:r>
        <w:t xml:space="preserve">participants had registered, we returned to scheduling events in advance. PLCs were booked at 9:00, 10:00, and 11:00 am on Fridays, which increased attendance at first. However, many departments, colleges, and committees also use this strategy, and some faculty reserve Fridays for their scholarship. Lesson learned: All times are equally bad. </w:t>
      </w:r>
    </w:p>
    <w:p w14:paraId="34438901" w14:textId="77777777" w:rsidR="00E852A5" w:rsidRDefault="00E852A5" w:rsidP="00A92AD3"/>
    <w:p w14:paraId="22ADEB6F" w14:textId="3AC73836" w:rsidR="007574FA" w:rsidRDefault="00223F03" w:rsidP="00A92AD3">
      <w:r>
        <w:t>August’s</w:t>
      </w:r>
      <w:r w:rsidR="00E852A5">
        <w:t xml:space="preserve"> New Faculty Workshop was attended by approximately 75% of new hires. </w:t>
      </w:r>
      <w:r>
        <w:t xml:space="preserve">Feedback was strongly positive for the focus on designing courses, learning D2L Brightspace, and getting ready for the first five weeks in the classroom. </w:t>
      </w:r>
      <w:r w:rsidR="00E852A5">
        <w:t xml:space="preserve">Identifying the new faculty and reaching them during the summer break between institutions continues to be a challenge, and HR continues to resist sharing the information with us far enough in advance to prepare for the event. </w:t>
      </w:r>
      <w:r w:rsidR="00801995">
        <w:t>Lesson learned: Be friends with the</w:t>
      </w:r>
      <w:r>
        <w:t xml:space="preserve"> Deans’</w:t>
      </w:r>
      <w:r w:rsidR="00801995">
        <w:t xml:space="preserve"> administrative assistants. </w:t>
      </w:r>
    </w:p>
    <w:p w14:paraId="4EF33FCD" w14:textId="64E37F93" w:rsidR="00223F03" w:rsidRDefault="00223F03" w:rsidP="00A92AD3"/>
    <w:p w14:paraId="0C24DF09" w14:textId="3086BDA7" w:rsidR="00A92AD3" w:rsidRDefault="00223F03" w:rsidP="00223F03">
      <w:r>
        <w:t>Total attendance at the second Scholars at Work Conference doubled from last year, and feedback suggested they appreciate the opportunity to share their work and learn from their peers. However, many participants attended only one presentation, and many presenters presented their own work and left. In several cases, the conference organizers were the only ones in the audience. Lesson learned: Internal conferneces may never have the prestige of external ones.</w:t>
      </w:r>
    </w:p>
    <w:p w14:paraId="4B40F5FA" w14:textId="16294872" w:rsidR="00A92AD3" w:rsidRDefault="00A92AD3" w:rsidP="00A92AD3">
      <w:pPr>
        <w:tabs>
          <w:tab w:val="left" w:pos="360"/>
        </w:tabs>
        <w:rPr>
          <w:rFonts w:ascii="Times New Roman" w:hAnsi="Times New Roman"/>
          <w:sz w:val="22"/>
          <w:szCs w:val="22"/>
        </w:rPr>
      </w:pPr>
    </w:p>
    <w:p w14:paraId="4C5068A4" w14:textId="782822E7" w:rsidR="00A92AD3" w:rsidRDefault="00801995" w:rsidP="00A92AD3">
      <w:r>
        <w:t xml:space="preserve">The Game-Based Learning (GBL) Cohort expanded upon the certificate offered by Carrie Miller in AY2017 and AY2018. This year-long cohort began with a two-day retreat to learn characteristics of learning games and </w:t>
      </w:r>
      <w:r w:rsidR="00223F03">
        <w:t xml:space="preserve">to </w:t>
      </w:r>
      <w:r>
        <w:t xml:space="preserve">brainstorm projects. Participants designed and tested </w:t>
      </w:r>
      <w:r w:rsidR="00223F03">
        <w:t xml:space="preserve">games </w:t>
      </w:r>
      <w:r>
        <w:t xml:space="preserve">in fall </w:t>
      </w:r>
      <w:r>
        <w:lastRenderedPageBreak/>
        <w:t xml:space="preserve">2018 and implemented them in spring 2019. </w:t>
      </w:r>
      <w:r w:rsidR="00223F03">
        <w:t>Participants received</w:t>
      </w:r>
      <w:r>
        <w:t xml:space="preserve"> $1000 grants for professional development expenses</w:t>
      </w:r>
      <w:r w:rsidR="00223F03">
        <w:t xml:space="preserve"> from the Office of the Provost</w:t>
      </w:r>
      <w:r>
        <w:t xml:space="preserve">. </w:t>
      </w:r>
    </w:p>
    <w:p w14:paraId="5E112383" w14:textId="528C356D" w:rsidR="00A92AD3" w:rsidRDefault="00A92AD3" w:rsidP="00A92AD3"/>
    <w:p w14:paraId="611E8701" w14:textId="79941777" w:rsidR="006C19E3" w:rsidRDefault="00223F03">
      <w:r>
        <w:t>W</w:t>
      </w:r>
      <w:r w:rsidR="00801995">
        <w:t>e lacked administrative support for most of the year.</w:t>
      </w:r>
      <w:r w:rsidR="00A92AD3">
        <w:t xml:space="preserve"> </w:t>
      </w:r>
      <w:r w:rsidR="00801995">
        <w:t xml:space="preserve">(A 0.5 OAS intermediate was hired in November but left in January.) The CETL director continued juggling both roles, but some projects and formal assessment were limited in scope. </w:t>
      </w:r>
    </w:p>
    <w:p w14:paraId="623F773E" w14:textId="62B845B2" w:rsidR="00E92042" w:rsidRDefault="00015CE2" w:rsidP="00015CE2">
      <w:pPr>
        <w:pStyle w:val="Heading1"/>
        <w:rPr>
          <w:sz w:val="22"/>
          <w:szCs w:val="22"/>
        </w:rPr>
      </w:pPr>
      <w:r>
        <w:t xml:space="preserve">II. </w:t>
      </w:r>
      <w:r w:rsidR="003B3C54" w:rsidRPr="005B073A">
        <w:t>Highlights:</w:t>
      </w:r>
      <w:r w:rsidR="003B3C54" w:rsidRPr="005B073A">
        <w:rPr>
          <w:sz w:val="22"/>
          <w:szCs w:val="22"/>
        </w:rPr>
        <w:t xml:space="preserve">  </w:t>
      </w:r>
    </w:p>
    <w:p w14:paraId="52569E78" w14:textId="2F7F2EE2" w:rsidR="00E5638A" w:rsidRDefault="00E5638A" w:rsidP="00E5638A"/>
    <w:tbl>
      <w:tblPr>
        <w:tblStyle w:val="TableGrid"/>
        <w:tblW w:w="0" w:type="auto"/>
        <w:tblLayout w:type="fixed"/>
        <w:tblLook w:val="04A0" w:firstRow="1" w:lastRow="0" w:firstColumn="1" w:lastColumn="0" w:noHBand="0" w:noVBand="1"/>
      </w:tblPr>
      <w:tblGrid>
        <w:gridCol w:w="4225"/>
        <w:gridCol w:w="1638"/>
        <w:gridCol w:w="1728"/>
        <w:gridCol w:w="1728"/>
      </w:tblGrid>
      <w:tr w:rsidR="00E5638A" w14:paraId="1DC10ABB" w14:textId="77777777" w:rsidTr="00A71CB2">
        <w:tc>
          <w:tcPr>
            <w:tcW w:w="4225" w:type="dxa"/>
          </w:tcPr>
          <w:p w14:paraId="13B86E9A" w14:textId="77777777" w:rsidR="00E5638A" w:rsidRDefault="00E5638A" w:rsidP="00E5638A"/>
        </w:tc>
        <w:tc>
          <w:tcPr>
            <w:tcW w:w="1638" w:type="dxa"/>
          </w:tcPr>
          <w:p w14:paraId="2577D39A" w14:textId="49435B60" w:rsidR="00E5638A" w:rsidRDefault="00E5638A" w:rsidP="00A71CB2">
            <w:pPr>
              <w:jc w:val="center"/>
            </w:pPr>
            <w:r>
              <w:t>2018-19</w:t>
            </w:r>
          </w:p>
        </w:tc>
        <w:tc>
          <w:tcPr>
            <w:tcW w:w="1728" w:type="dxa"/>
          </w:tcPr>
          <w:p w14:paraId="00FD83A1" w14:textId="1030B0BE" w:rsidR="00E5638A" w:rsidRDefault="00E5638A" w:rsidP="00A71CB2">
            <w:pPr>
              <w:jc w:val="center"/>
            </w:pPr>
            <w:r>
              <w:t>2017-18</w:t>
            </w:r>
          </w:p>
        </w:tc>
        <w:tc>
          <w:tcPr>
            <w:tcW w:w="1728" w:type="dxa"/>
          </w:tcPr>
          <w:p w14:paraId="18AF724F" w14:textId="098AAC6B" w:rsidR="00E5638A" w:rsidRDefault="00E5638A" w:rsidP="00A71CB2">
            <w:pPr>
              <w:jc w:val="center"/>
            </w:pPr>
            <w:r>
              <w:t>2016-17</w:t>
            </w:r>
          </w:p>
        </w:tc>
      </w:tr>
      <w:tr w:rsidR="00E5638A" w14:paraId="19944C95" w14:textId="77777777" w:rsidTr="00A71CB2">
        <w:tc>
          <w:tcPr>
            <w:tcW w:w="4225" w:type="dxa"/>
          </w:tcPr>
          <w:p w14:paraId="11C57899" w14:textId="5C7155BF" w:rsidR="00E5638A" w:rsidRPr="00E5638A" w:rsidRDefault="00E5638A" w:rsidP="00E5638A">
            <w:pPr>
              <w:rPr>
                <w:sz w:val="18"/>
              </w:rPr>
            </w:pPr>
            <w:r w:rsidRPr="00E5638A">
              <w:rPr>
                <w:sz w:val="18"/>
              </w:rPr>
              <w:t>Professional Learning Communities</w:t>
            </w:r>
            <w:r w:rsidR="00A71CB2">
              <w:rPr>
                <w:sz w:val="18"/>
              </w:rPr>
              <w:t xml:space="preserve"> </w:t>
            </w:r>
          </w:p>
        </w:tc>
        <w:tc>
          <w:tcPr>
            <w:tcW w:w="1638" w:type="dxa"/>
          </w:tcPr>
          <w:p w14:paraId="5FB03A71" w14:textId="34542578" w:rsidR="00E5638A" w:rsidRPr="00E5638A" w:rsidRDefault="00A71CB2" w:rsidP="00A71CB2">
            <w:pPr>
              <w:jc w:val="center"/>
              <w:rPr>
                <w:sz w:val="18"/>
              </w:rPr>
            </w:pPr>
            <w:r>
              <w:rPr>
                <w:sz w:val="18"/>
              </w:rPr>
              <w:t>7</w:t>
            </w:r>
          </w:p>
        </w:tc>
        <w:tc>
          <w:tcPr>
            <w:tcW w:w="1728" w:type="dxa"/>
          </w:tcPr>
          <w:p w14:paraId="06BEF3BB" w14:textId="14E9EFD3" w:rsidR="00E5638A" w:rsidRPr="00E5638A" w:rsidRDefault="00E5638A" w:rsidP="00A71CB2">
            <w:pPr>
              <w:jc w:val="center"/>
              <w:rPr>
                <w:sz w:val="18"/>
              </w:rPr>
            </w:pPr>
            <w:r>
              <w:rPr>
                <w:sz w:val="18"/>
              </w:rPr>
              <w:t>11</w:t>
            </w:r>
          </w:p>
        </w:tc>
        <w:tc>
          <w:tcPr>
            <w:tcW w:w="1728" w:type="dxa"/>
          </w:tcPr>
          <w:p w14:paraId="669913AA" w14:textId="021DC1A7" w:rsidR="00E5638A" w:rsidRPr="00E5638A" w:rsidRDefault="00E5638A" w:rsidP="00A71CB2">
            <w:pPr>
              <w:jc w:val="center"/>
              <w:rPr>
                <w:sz w:val="18"/>
              </w:rPr>
            </w:pPr>
            <w:r>
              <w:rPr>
                <w:sz w:val="18"/>
              </w:rPr>
              <w:t>18</w:t>
            </w:r>
          </w:p>
        </w:tc>
      </w:tr>
      <w:tr w:rsidR="00E5638A" w14:paraId="737B4A31" w14:textId="77777777" w:rsidTr="00A71CB2">
        <w:tc>
          <w:tcPr>
            <w:tcW w:w="4225" w:type="dxa"/>
          </w:tcPr>
          <w:p w14:paraId="694AB237" w14:textId="28611793" w:rsidR="00E5638A" w:rsidRPr="00E5638A" w:rsidRDefault="00E5638A" w:rsidP="00E5638A">
            <w:pPr>
              <w:rPr>
                <w:sz w:val="18"/>
              </w:rPr>
            </w:pPr>
            <w:r w:rsidRPr="00E5638A">
              <w:rPr>
                <w:sz w:val="18"/>
              </w:rPr>
              <w:t>Scholars at Work Seminars</w:t>
            </w:r>
          </w:p>
        </w:tc>
        <w:tc>
          <w:tcPr>
            <w:tcW w:w="1638" w:type="dxa"/>
          </w:tcPr>
          <w:p w14:paraId="71A3C9C2" w14:textId="3261AAED" w:rsidR="00E5638A" w:rsidRPr="00E5638A" w:rsidRDefault="00E5638A" w:rsidP="00A71CB2">
            <w:pPr>
              <w:jc w:val="center"/>
              <w:rPr>
                <w:sz w:val="18"/>
              </w:rPr>
            </w:pPr>
            <w:r>
              <w:rPr>
                <w:sz w:val="18"/>
              </w:rPr>
              <w:t>--</w:t>
            </w:r>
          </w:p>
        </w:tc>
        <w:tc>
          <w:tcPr>
            <w:tcW w:w="1728" w:type="dxa"/>
          </w:tcPr>
          <w:p w14:paraId="33801941" w14:textId="26A1C44E" w:rsidR="00E5638A" w:rsidRPr="00E5638A" w:rsidRDefault="00E5638A" w:rsidP="00A71CB2">
            <w:pPr>
              <w:jc w:val="center"/>
              <w:rPr>
                <w:sz w:val="18"/>
              </w:rPr>
            </w:pPr>
            <w:r>
              <w:rPr>
                <w:sz w:val="18"/>
              </w:rPr>
              <w:t>--</w:t>
            </w:r>
          </w:p>
        </w:tc>
        <w:tc>
          <w:tcPr>
            <w:tcW w:w="1728" w:type="dxa"/>
          </w:tcPr>
          <w:p w14:paraId="54559D2B" w14:textId="121D24F8" w:rsidR="00E5638A" w:rsidRPr="00E5638A" w:rsidRDefault="00E5638A" w:rsidP="00A71CB2">
            <w:pPr>
              <w:jc w:val="center"/>
              <w:rPr>
                <w:sz w:val="18"/>
              </w:rPr>
            </w:pPr>
            <w:r>
              <w:rPr>
                <w:sz w:val="18"/>
              </w:rPr>
              <w:t>15</w:t>
            </w:r>
          </w:p>
        </w:tc>
      </w:tr>
      <w:tr w:rsidR="00E5638A" w14:paraId="32C86891" w14:textId="77777777" w:rsidTr="00A71CB2">
        <w:tc>
          <w:tcPr>
            <w:tcW w:w="4225" w:type="dxa"/>
          </w:tcPr>
          <w:p w14:paraId="045FF9FD" w14:textId="640F3BC6" w:rsidR="00E5638A" w:rsidRPr="00E5638A" w:rsidRDefault="00E5638A" w:rsidP="00E5638A">
            <w:pPr>
              <w:rPr>
                <w:sz w:val="18"/>
              </w:rPr>
            </w:pPr>
            <w:r w:rsidRPr="00E5638A">
              <w:rPr>
                <w:sz w:val="18"/>
              </w:rPr>
              <w:t>Scholars at Work Conference Participants</w:t>
            </w:r>
          </w:p>
        </w:tc>
        <w:tc>
          <w:tcPr>
            <w:tcW w:w="1638" w:type="dxa"/>
          </w:tcPr>
          <w:p w14:paraId="71062198" w14:textId="7B6960DF" w:rsidR="00E5638A" w:rsidRPr="00E5638A" w:rsidRDefault="00E5638A" w:rsidP="00A71CB2">
            <w:pPr>
              <w:jc w:val="center"/>
              <w:rPr>
                <w:sz w:val="18"/>
              </w:rPr>
            </w:pPr>
            <w:r>
              <w:rPr>
                <w:sz w:val="18"/>
              </w:rPr>
              <w:t>60</w:t>
            </w:r>
          </w:p>
        </w:tc>
        <w:tc>
          <w:tcPr>
            <w:tcW w:w="1728" w:type="dxa"/>
          </w:tcPr>
          <w:p w14:paraId="1343B763" w14:textId="302E48B5" w:rsidR="00E5638A" w:rsidRPr="00E5638A" w:rsidRDefault="00E5638A" w:rsidP="00A71CB2">
            <w:pPr>
              <w:jc w:val="center"/>
              <w:rPr>
                <w:sz w:val="18"/>
              </w:rPr>
            </w:pPr>
            <w:r>
              <w:rPr>
                <w:sz w:val="18"/>
              </w:rPr>
              <w:t>30</w:t>
            </w:r>
          </w:p>
        </w:tc>
        <w:tc>
          <w:tcPr>
            <w:tcW w:w="1728" w:type="dxa"/>
          </w:tcPr>
          <w:p w14:paraId="27DF0B7C" w14:textId="1275488A" w:rsidR="00E5638A" w:rsidRPr="00E5638A" w:rsidRDefault="00E5638A" w:rsidP="00A71CB2">
            <w:pPr>
              <w:jc w:val="center"/>
              <w:rPr>
                <w:sz w:val="18"/>
              </w:rPr>
            </w:pPr>
            <w:r>
              <w:rPr>
                <w:sz w:val="18"/>
              </w:rPr>
              <w:t>--</w:t>
            </w:r>
          </w:p>
        </w:tc>
      </w:tr>
      <w:tr w:rsidR="00E5638A" w14:paraId="7B565044" w14:textId="77777777" w:rsidTr="00A71CB2">
        <w:tc>
          <w:tcPr>
            <w:tcW w:w="4225" w:type="dxa"/>
          </w:tcPr>
          <w:p w14:paraId="5BDA3641" w14:textId="50CEDB25" w:rsidR="00E5638A" w:rsidRPr="00E5638A" w:rsidRDefault="00E5638A" w:rsidP="00E5638A">
            <w:pPr>
              <w:rPr>
                <w:sz w:val="18"/>
              </w:rPr>
            </w:pPr>
            <w:r w:rsidRPr="00E5638A">
              <w:rPr>
                <w:sz w:val="18"/>
              </w:rPr>
              <w:t>Book Discussion Groups</w:t>
            </w:r>
          </w:p>
        </w:tc>
        <w:tc>
          <w:tcPr>
            <w:tcW w:w="1638" w:type="dxa"/>
          </w:tcPr>
          <w:p w14:paraId="5D605093" w14:textId="5742D9A9" w:rsidR="00E5638A" w:rsidRPr="00E5638A" w:rsidRDefault="00A71CB2" w:rsidP="00A71CB2">
            <w:pPr>
              <w:jc w:val="center"/>
              <w:rPr>
                <w:sz w:val="18"/>
              </w:rPr>
            </w:pPr>
            <w:r>
              <w:rPr>
                <w:sz w:val="18"/>
              </w:rPr>
              <w:t>2</w:t>
            </w:r>
          </w:p>
        </w:tc>
        <w:tc>
          <w:tcPr>
            <w:tcW w:w="1728" w:type="dxa"/>
          </w:tcPr>
          <w:p w14:paraId="530005FF" w14:textId="386C9838" w:rsidR="00E5638A" w:rsidRPr="00E5638A" w:rsidRDefault="00E5638A" w:rsidP="00A71CB2">
            <w:pPr>
              <w:jc w:val="center"/>
              <w:rPr>
                <w:sz w:val="18"/>
              </w:rPr>
            </w:pPr>
            <w:r>
              <w:rPr>
                <w:sz w:val="18"/>
              </w:rPr>
              <w:t>6</w:t>
            </w:r>
          </w:p>
        </w:tc>
        <w:tc>
          <w:tcPr>
            <w:tcW w:w="1728" w:type="dxa"/>
          </w:tcPr>
          <w:p w14:paraId="42F2E55F" w14:textId="39187E20" w:rsidR="00E5638A" w:rsidRPr="00E5638A" w:rsidRDefault="00E5638A" w:rsidP="00A71CB2">
            <w:pPr>
              <w:jc w:val="center"/>
              <w:rPr>
                <w:sz w:val="18"/>
              </w:rPr>
            </w:pPr>
            <w:r>
              <w:rPr>
                <w:sz w:val="18"/>
              </w:rPr>
              <w:t>7</w:t>
            </w:r>
          </w:p>
        </w:tc>
      </w:tr>
      <w:tr w:rsidR="00E5638A" w14:paraId="6CA38564" w14:textId="77777777" w:rsidTr="00A71CB2">
        <w:tc>
          <w:tcPr>
            <w:tcW w:w="4225" w:type="dxa"/>
          </w:tcPr>
          <w:p w14:paraId="395229FA" w14:textId="0944E9A2" w:rsidR="00E5638A" w:rsidRPr="00E5638A" w:rsidRDefault="00E5638A" w:rsidP="00E5638A">
            <w:pPr>
              <w:rPr>
                <w:sz w:val="18"/>
              </w:rPr>
            </w:pPr>
            <w:r>
              <w:rPr>
                <w:sz w:val="18"/>
              </w:rPr>
              <w:t>Mentoring Pairs</w:t>
            </w:r>
          </w:p>
        </w:tc>
        <w:tc>
          <w:tcPr>
            <w:tcW w:w="1638" w:type="dxa"/>
          </w:tcPr>
          <w:p w14:paraId="20213D9B" w14:textId="29C637CC" w:rsidR="00E5638A" w:rsidRPr="00E5638A" w:rsidRDefault="00E5638A" w:rsidP="00A71CB2">
            <w:pPr>
              <w:jc w:val="center"/>
              <w:rPr>
                <w:sz w:val="18"/>
              </w:rPr>
            </w:pPr>
            <w:r>
              <w:rPr>
                <w:sz w:val="18"/>
              </w:rPr>
              <w:t>4</w:t>
            </w:r>
          </w:p>
        </w:tc>
        <w:tc>
          <w:tcPr>
            <w:tcW w:w="1728" w:type="dxa"/>
          </w:tcPr>
          <w:p w14:paraId="3645185C" w14:textId="345754AB" w:rsidR="00E5638A" w:rsidRPr="00E5638A" w:rsidRDefault="00E5638A" w:rsidP="00A71CB2">
            <w:pPr>
              <w:jc w:val="center"/>
              <w:rPr>
                <w:sz w:val="18"/>
              </w:rPr>
            </w:pPr>
            <w:r>
              <w:rPr>
                <w:sz w:val="18"/>
              </w:rPr>
              <w:t>1</w:t>
            </w:r>
          </w:p>
        </w:tc>
        <w:tc>
          <w:tcPr>
            <w:tcW w:w="1728" w:type="dxa"/>
          </w:tcPr>
          <w:p w14:paraId="13C44BFB" w14:textId="776FCB19" w:rsidR="00E5638A" w:rsidRPr="00E5638A" w:rsidRDefault="00E5638A" w:rsidP="00A71CB2">
            <w:pPr>
              <w:jc w:val="center"/>
              <w:rPr>
                <w:sz w:val="18"/>
              </w:rPr>
            </w:pPr>
            <w:r>
              <w:rPr>
                <w:sz w:val="18"/>
              </w:rPr>
              <w:t>26</w:t>
            </w:r>
          </w:p>
        </w:tc>
      </w:tr>
      <w:tr w:rsidR="00E5638A" w14:paraId="60B8927B" w14:textId="77777777" w:rsidTr="00A71CB2">
        <w:tc>
          <w:tcPr>
            <w:tcW w:w="4225" w:type="dxa"/>
          </w:tcPr>
          <w:p w14:paraId="584149C8" w14:textId="74B56156" w:rsidR="00E5638A" w:rsidRPr="00E5638A" w:rsidRDefault="00E5638A" w:rsidP="00E5638A">
            <w:pPr>
              <w:rPr>
                <w:sz w:val="18"/>
              </w:rPr>
            </w:pPr>
            <w:r w:rsidRPr="00E5638A">
              <w:rPr>
                <w:sz w:val="18"/>
              </w:rPr>
              <w:t>Peer Faculty Observations</w:t>
            </w:r>
          </w:p>
        </w:tc>
        <w:tc>
          <w:tcPr>
            <w:tcW w:w="1638" w:type="dxa"/>
          </w:tcPr>
          <w:p w14:paraId="5BB8729E" w14:textId="685F75F2" w:rsidR="00E5638A" w:rsidRPr="00E5638A" w:rsidRDefault="00E5638A" w:rsidP="00A71CB2">
            <w:pPr>
              <w:jc w:val="center"/>
              <w:rPr>
                <w:sz w:val="18"/>
              </w:rPr>
            </w:pPr>
            <w:r>
              <w:rPr>
                <w:sz w:val="18"/>
              </w:rPr>
              <w:t>10</w:t>
            </w:r>
          </w:p>
        </w:tc>
        <w:tc>
          <w:tcPr>
            <w:tcW w:w="1728" w:type="dxa"/>
          </w:tcPr>
          <w:p w14:paraId="4E1205FE" w14:textId="3DDCA4DF" w:rsidR="00E5638A" w:rsidRPr="00E5638A" w:rsidRDefault="00E5638A" w:rsidP="00A71CB2">
            <w:pPr>
              <w:jc w:val="center"/>
              <w:rPr>
                <w:sz w:val="18"/>
              </w:rPr>
            </w:pPr>
            <w:r>
              <w:rPr>
                <w:sz w:val="18"/>
              </w:rPr>
              <w:t>1</w:t>
            </w:r>
          </w:p>
        </w:tc>
        <w:tc>
          <w:tcPr>
            <w:tcW w:w="1728" w:type="dxa"/>
          </w:tcPr>
          <w:p w14:paraId="247CBF03" w14:textId="2C92F2CD" w:rsidR="00E5638A" w:rsidRPr="00E5638A" w:rsidRDefault="00E5638A" w:rsidP="00A71CB2">
            <w:pPr>
              <w:jc w:val="center"/>
              <w:rPr>
                <w:sz w:val="18"/>
              </w:rPr>
            </w:pPr>
            <w:r>
              <w:rPr>
                <w:sz w:val="18"/>
              </w:rPr>
              <w:t>20</w:t>
            </w:r>
          </w:p>
        </w:tc>
      </w:tr>
      <w:tr w:rsidR="00E5638A" w14:paraId="6650E61B" w14:textId="77777777" w:rsidTr="00A71CB2">
        <w:tc>
          <w:tcPr>
            <w:tcW w:w="4225" w:type="dxa"/>
          </w:tcPr>
          <w:p w14:paraId="23D861F6" w14:textId="7AD9A336" w:rsidR="00E5638A" w:rsidRPr="00E5638A" w:rsidRDefault="00E5638A" w:rsidP="00E5638A">
            <w:pPr>
              <w:rPr>
                <w:sz w:val="18"/>
              </w:rPr>
            </w:pPr>
            <w:r w:rsidRPr="00E5638A">
              <w:rPr>
                <w:sz w:val="18"/>
              </w:rPr>
              <w:t>Students Consulting on Teaching (SCOT)</w:t>
            </w:r>
          </w:p>
        </w:tc>
        <w:tc>
          <w:tcPr>
            <w:tcW w:w="1638" w:type="dxa"/>
          </w:tcPr>
          <w:p w14:paraId="3F32D5B6" w14:textId="6B0AFEA9" w:rsidR="00E5638A" w:rsidRPr="00E5638A" w:rsidRDefault="00A71CB2" w:rsidP="00A71CB2">
            <w:pPr>
              <w:jc w:val="center"/>
              <w:rPr>
                <w:sz w:val="18"/>
              </w:rPr>
            </w:pPr>
            <w:r>
              <w:rPr>
                <w:sz w:val="18"/>
              </w:rPr>
              <w:t>6</w:t>
            </w:r>
          </w:p>
        </w:tc>
        <w:tc>
          <w:tcPr>
            <w:tcW w:w="1728" w:type="dxa"/>
          </w:tcPr>
          <w:p w14:paraId="1C3D7B90" w14:textId="313CC27F" w:rsidR="00E5638A" w:rsidRPr="00E5638A" w:rsidRDefault="00E5638A" w:rsidP="00A71CB2">
            <w:pPr>
              <w:jc w:val="center"/>
              <w:rPr>
                <w:sz w:val="18"/>
              </w:rPr>
            </w:pPr>
            <w:r>
              <w:rPr>
                <w:sz w:val="18"/>
              </w:rPr>
              <w:t>9</w:t>
            </w:r>
          </w:p>
        </w:tc>
        <w:tc>
          <w:tcPr>
            <w:tcW w:w="1728" w:type="dxa"/>
          </w:tcPr>
          <w:p w14:paraId="7DBA11FC" w14:textId="02FE461A" w:rsidR="00E5638A" w:rsidRPr="00E5638A" w:rsidRDefault="00E5638A" w:rsidP="00A71CB2">
            <w:pPr>
              <w:jc w:val="center"/>
              <w:rPr>
                <w:sz w:val="18"/>
              </w:rPr>
            </w:pPr>
            <w:r>
              <w:rPr>
                <w:sz w:val="18"/>
              </w:rPr>
              <w:t>9</w:t>
            </w:r>
          </w:p>
        </w:tc>
      </w:tr>
      <w:tr w:rsidR="00E5638A" w14:paraId="477F9169" w14:textId="77777777" w:rsidTr="00A71CB2">
        <w:tc>
          <w:tcPr>
            <w:tcW w:w="4225" w:type="dxa"/>
          </w:tcPr>
          <w:p w14:paraId="489899DC" w14:textId="01BE2A3A" w:rsidR="00E5638A" w:rsidRPr="00E5638A" w:rsidRDefault="00E5638A" w:rsidP="00E5638A">
            <w:pPr>
              <w:rPr>
                <w:sz w:val="18"/>
              </w:rPr>
            </w:pPr>
            <w:r w:rsidRPr="00E5638A">
              <w:rPr>
                <w:sz w:val="18"/>
              </w:rPr>
              <w:t>Individual Consultations</w:t>
            </w:r>
          </w:p>
        </w:tc>
        <w:tc>
          <w:tcPr>
            <w:tcW w:w="1638" w:type="dxa"/>
          </w:tcPr>
          <w:p w14:paraId="21537706" w14:textId="7330E7A5" w:rsidR="00E5638A" w:rsidRPr="00E5638A" w:rsidRDefault="00E5638A" w:rsidP="00A71CB2">
            <w:pPr>
              <w:jc w:val="center"/>
              <w:rPr>
                <w:sz w:val="18"/>
              </w:rPr>
            </w:pPr>
            <w:r>
              <w:rPr>
                <w:sz w:val="18"/>
              </w:rPr>
              <w:t>30</w:t>
            </w:r>
          </w:p>
        </w:tc>
        <w:tc>
          <w:tcPr>
            <w:tcW w:w="1728" w:type="dxa"/>
          </w:tcPr>
          <w:p w14:paraId="1A09DC73" w14:textId="27F5EBB8" w:rsidR="00E5638A" w:rsidRPr="00E5638A" w:rsidRDefault="00E5638A" w:rsidP="00A71CB2">
            <w:pPr>
              <w:jc w:val="center"/>
              <w:rPr>
                <w:sz w:val="18"/>
              </w:rPr>
            </w:pPr>
            <w:r>
              <w:rPr>
                <w:sz w:val="18"/>
              </w:rPr>
              <w:t>n/a</w:t>
            </w:r>
          </w:p>
        </w:tc>
        <w:tc>
          <w:tcPr>
            <w:tcW w:w="1728" w:type="dxa"/>
          </w:tcPr>
          <w:p w14:paraId="075AF542" w14:textId="42C14F44" w:rsidR="00E5638A" w:rsidRPr="00E5638A" w:rsidRDefault="00E5638A" w:rsidP="00A71CB2">
            <w:pPr>
              <w:jc w:val="center"/>
              <w:rPr>
                <w:sz w:val="18"/>
              </w:rPr>
            </w:pPr>
            <w:r>
              <w:rPr>
                <w:sz w:val="18"/>
              </w:rPr>
              <w:t>n/a</w:t>
            </w:r>
          </w:p>
        </w:tc>
      </w:tr>
      <w:tr w:rsidR="00E5638A" w14:paraId="1A6F1227" w14:textId="77777777" w:rsidTr="00A71CB2">
        <w:tc>
          <w:tcPr>
            <w:tcW w:w="4225" w:type="dxa"/>
          </w:tcPr>
          <w:p w14:paraId="6B62392D" w14:textId="5BD4EDF7" w:rsidR="00E5638A" w:rsidRPr="00E5638A" w:rsidRDefault="00E5638A" w:rsidP="00E5638A">
            <w:pPr>
              <w:rPr>
                <w:sz w:val="18"/>
              </w:rPr>
            </w:pPr>
            <w:r w:rsidRPr="00E5638A">
              <w:rPr>
                <w:sz w:val="18"/>
              </w:rPr>
              <w:t>Workshops on Demand</w:t>
            </w:r>
          </w:p>
        </w:tc>
        <w:tc>
          <w:tcPr>
            <w:tcW w:w="1638" w:type="dxa"/>
          </w:tcPr>
          <w:p w14:paraId="32385368" w14:textId="5044D9E3" w:rsidR="00E5638A" w:rsidRPr="00E5638A" w:rsidRDefault="00A71CB2" w:rsidP="00A71CB2">
            <w:pPr>
              <w:jc w:val="center"/>
              <w:rPr>
                <w:sz w:val="18"/>
              </w:rPr>
            </w:pPr>
            <w:r>
              <w:rPr>
                <w:sz w:val="18"/>
              </w:rPr>
              <w:t>3</w:t>
            </w:r>
          </w:p>
        </w:tc>
        <w:tc>
          <w:tcPr>
            <w:tcW w:w="1728" w:type="dxa"/>
          </w:tcPr>
          <w:p w14:paraId="35E49187" w14:textId="0D0AAD23" w:rsidR="00E5638A" w:rsidRPr="00E5638A" w:rsidRDefault="00E5638A" w:rsidP="00A71CB2">
            <w:pPr>
              <w:jc w:val="center"/>
              <w:rPr>
                <w:sz w:val="18"/>
              </w:rPr>
            </w:pPr>
            <w:r>
              <w:rPr>
                <w:sz w:val="18"/>
              </w:rPr>
              <w:t>6</w:t>
            </w:r>
          </w:p>
        </w:tc>
        <w:tc>
          <w:tcPr>
            <w:tcW w:w="1728" w:type="dxa"/>
          </w:tcPr>
          <w:p w14:paraId="1CAFAC3B" w14:textId="798E4DF1" w:rsidR="00E5638A" w:rsidRPr="00E5638A" w:rsidRDefault="00E5638A" w:rsidP="00A71CB2">
            <w:pPr>
              <w:jc w:val="center"/>
              <w:rPr>
                <w:sz w:val="18"/>
              </w:rPr>
            </w:pPr>
            <w:r>
              <w:rPr>
                <w:sz w:val="18"/>
              </w:rPr>
              <w:t>--</w:t>
            </w:r>
          </w:p>
        </w:tc>
      </w:tr>
      <w:tr w:rsidR="00E5638A" w14:paraId="60FBDBC1" w14:textId="77777777" w:rsidTr="00A71CB2">
        <w:tc>
          <w:tcPr>
            <w:tcW w:w="4225" w:type="dxa"/>
          </w:tcPr>
          <w:p w14:paraId="2681AAAE" w14:textId="5641AC6A" w:rsidR="00E5638A" w:rsidRPr="00E5638A" w:rsidRDefault="00E5638A" w:rsidP="00E5638A">
            <w:pPr>
              <w:rPr>
                <w:sz w:val="18"/>
              </w:rPr>
            </w:pPr>
            <w:r>
              <w:rPr>
                <w:sz w:val="18"/>
              </w:rPr>
              <w:t>Game-Based Learning Mini Grants</w:t>
            </w:r>
          </w:p>
        </w:tc>
        <w:tc>
          <w:tcPr>
            <w:tcW w:w="1638" w:type="dxa"/>
          </w:tcPr>
          <w:p w14:paraId="577D9C2B" w14:textId="41F8C043" w:rsidR="00E5638A" w:rsidRPr="00E5638A" w:rsidRDefault="00E5638A" w:rsidP="00A71CB2">
            <w:pPr>
              <w:jc w:val="center"/>
              <w:rPr>
                <w:sz w:val="18"/>
              </w:rPr>
            </w:pPr>
            <w:r>
              <w:rPr>
                <w:sz w:val="18"/>
              </w:rPr>
              <w:t>12</w:t>
            </w:r>
          </w:p>
        </w:tc>
        <w:tc>
          <w:tcPr>
            <w:tcW w:w="1728" w:type="dxa"/>
          </w:tcPr>
          <w:p w14:paraId="08DCF7FD" w14:textId="0B763CF0" w:rsidR="00E5638A" w:rsidRPr="00E5638A" w:rsidRDefault="00E5638A" w:rsidP="00A71CB2">
            <w:pPr>
              <w:jc w:val="center"/>
              <w:rPr>
                <w:sz w:val="18"/>
              </w:rPr>
            </w:pPr>
            <w:r>
              <w:rPr>
                <w:sz w:val="18"/>
              </w:rPr>
              <w:t>--</w:t>
            </w:r>
          </w:p>
        </w:tc>
        <w:tc>
          <w:tcPr>
            <w:tcW w:w="1728" w:type="dxa"/>
          </w:tcPr>
          <w:p w14:paraId="20225AA3" w14:textId="4228B554" w:rsidR="00E5638A" w:rsidRPr="00E5638A" w:rsidRDefault="00E5638A" w:rsidP="00A71CB2">
            <w:pPr>
              <w:jc w:val="center"/>
              <w:rPr>
                <w:sz w:val="18"/>
              </w:rPr>
            </w:pPr>
            <w:r>
              <w:rPr>
                <w:sz w:val="18"/>
              </w:rPr>
              <w:t>--</w:t>
            </w:r>
          </w:p>
        </w:tc>
      </w:tr>
      <w:tr w:rsidR="00E5638A" w14:paraId="58FBA647" w14:textId="77777777" w:rsidTr="00A71CB2">
        <w:tc>
          <w:tcPr>
            <w:tcW w:w="4225" w:type="dxa"/>
          </w:tcPr>
          <w:p w14:paraId="72DB9E8B" w14:textId="7C67BCD1" w:rsidR="00E5638A" w:rsidRPr="00E5638A" w:rsidRDefault="00A71CB2" w:rsidP="00E5638A">
            <w:pPr>
              <w:rPr>
                <w:sz w:val="18"/>
              </w:rPr>
            </w:pPr>
            <w:r>
              <w:rPr>
                <w:sz w:val="18"/>
              </w:rPr>
              <w:t>Differentiating 400/500 Course (asynchronous)</w:t>
            </w:r>
          </w:p>
        </w:tc>
        <w:tc>
          <w:tcPr>
            <w:tcW w:w="1638" w:type="dxa"/>
          </w:tcPr>
          <w:p w14:paraId="6E5E3E38" w14:textId="791515D9" w:rsidR="00E5638A" w:rsidRPr="00E5638A" w:rsidRDefault="00A71CB2" w:rsidP="00A71CB2">
            <w:pPr>
              <w:jc w:val="center"/>
              <w:rPr>
                <w:sz w:val="18"/>
              </w:rPr>
            </w:pPr>
            <w:r>
              <w:rPr>
                <w:sz w:val="18"/>
              </w:rPr>
              <w:t>1</w:t>
            </w:r>
          </w:p>
        </w:tc>
        <w:tc>
          <w:tcPr>
            <w:tcW w:w="1728" w:type="dxa"/>
          </w:tcPr>
          <w:p w14:paraId="3085D0C6" w14:textId="3EE8B649" w:rsidR="00E5638A" w:rsidRPr="00E5638A" w:rsidRDefault="00A71CB2" w:rsidP="00A71CB2">
            <w:pPr>
              <w:jc w:val="center"/>
              <w:rPr>
                <w:sz w:val="18"/>
              </w:rPr>
            </w:pPr>
            <w:r>
              <w:rPr>
                <w:sz w:val="18"/>
              </w:rPr>
              <w:t>--</w:t>
            </w:r>
          </w:p>
        </w:tc>
        <w:tc>
          <w:tcPr>
            <w:tcW w:w="1728" w:type="dxa"/>
          </w:tcPr>
          <w:p w14:paraId="18A6FB19" w14:textId="74E484B7" w:rsidR="00E5638A" w:rsidRPr="00E5638A" w:rsidRDefault="00A71CB2" w:rsidP="00A71CB2">
            <w:pPr>
              <w:jc w:val="center"/>
              <w:rPr>
                <w:sz w:val="18"/>
              </w:rPr>
            </w:pPr>
            <w:r>
              <w:rPr>
                <w:sz w:val="18"/>
              </w:rPr>
              <w:t>--</w:t>
            </w:r>
          </w:p>
        </w:tc>
      </w:tr>
      <w:tr w:rsidR="00E5638A" w14:paraId="0614FE33" w14:textId="77777777" w:rsidTr="00A71CB2">
        <w:tc>
          <w:tcPr>
            <w:tcW w:w="4225" w:type="dxa"/>
          </w:tcPr>
          <w:p w14:paraId="7854E15D" w14:textId="77777777" w:rsidR="00E5638A" w:rsidRPr="00E5638A" w:rsidRDefault="00E5638A" w:rsidP="00E5638A">
            <w:pPr>
              <w:rPr>
                <w:sz w:val="18"/>
              </w:rPr>
            </w:pPr>
          </w:p>
        </w:tc>
        <w:tc>
          <w:tcPr>
            <w:tcW w:w="1638" w:type="dxa"/>
          </w:tcPr>
          <w:p w14:paraId="6B56B2D4" w14:textId="77777777" w:rsidR="00E5638A" w:rsidRPr="00E5638A" w:rsidRDefault="00E5638A" w:rsidP="00A71CB2">
            <w:pPr>
              <w:jc w:val="center"/>
              <w:rPr>
                <w:sz w:val="18"/>
              </w:rPr>
            </w:pPr>
          </w:p>
        </w:tc>
        <w:tc>
          <w:tcPr>
            <w:tcW w:w="1728" w:type="dxa"/>
          </w:tcPr>
          <w:p w14:paraId="78176D91" w14:textId="77777777" w:rsidR="00E5638A" w:rsidRPr="00E5638A" w:rsidRDefault="00E5638A" w:rsidP="00A71CB2">
            <w:pPr>
              <w:jc w:val="center"/>
              <w:rPr>
                <w:sz w:val="18"/>
              </w:rPr>
            </w:pPr>
          </w:p>
        </w:tc>
        <w:tc>
          <w:tcPr>
            <w:tcW w:w="1728" w:type="dxa"/>
          </w:tcPr>
          <w:p w14:paraId="35D34BF0" w14:textId="77777777" w:rsidR="00E5638A" w:rsidRPr="00E5638A" w:rsidRDefault="00E5638A" w:rsidP="00A71CB2">
            <w:pPr>
              <w:jc w:val="center"/>
              <w:rPr>
                <w:sz w:val="18"/>
              </w:rPr>
            </w:pPr>
          </w:p>
        </w:tc>
      </w:tr>
      <w:tr w:rsidR="00E5638A" w14:paraId="1134F71B" w14:textId="77777777" w:rsidTr="00A71CB2">
        <w:tc>
          <w:tcPr>
            <w:tcW w:w="4225" w:type="dxa"/>
          </w:tcPr>
          <w:p w14:paraId="419725A5" w14:textId="0CDD3A89" w:rsidR="00E5638A" w:rsidRPr="00E5638A" w:rsidRDefault="00E5638A" w:rsidP="00E5638A">
            <w:pPr>
              <w:rPr>
                <w:sz w:val="18"/>
              </w:rPr>
            </w:pPr>
            <w:r>
              <w:rPr>
                <w:sz w:val="18"/>
              </w:rPr>
              <w:t>Total participants</w:t>
            </w:r>
          </w:p>
        </w:tc>
        <w:tc>
          <w:tcPr>
            <w:tcW w:w="1638" w:type="dxa"/>
          </w:tcPr>
          <w:p w14:paraId="5E8BF45F" w14:textId="69821909" w:rsidR="00E5638A" w:rsidRPr="00E5638A" w:rsidRDefault="00A71CB2" w:rsidP="00A71CB2">
            <w:pPr>
              <w:jc w:val="center"/>
              <w:rPr>
                <w:sz w:val="18"/>
              </w:rPr>
            </w:pPr>
            <w:r>
              <w:rPr>
                <w:sz w:val="18"/>
              </w:rPr>
              <w:t>216</w:t>
            </w:r>
          </w:p>
        </w:tc>
        <w:tc>
          <w:tcPr>
            <w:tcW w:w="1728" w:type="dxa"/>
          </w:tcPr>
          <w:p w14:paraId="3A2ABAA7" w14:textId="23D94A39" w:rsidR="00E5638A" w:rsidRPr="00E5638A" w:rsidRDefault="00E5638A" w:rsidP="00A71CB2">
            <w:pPr>
              <w:jc w:val="center"/>
              <w:rPr>
                <w:sz w:val="18"/>
              </w:rPr>
            </w:pPr>
            <w:r>
              <w:rPr>
                <w:sz w:val="18"/>
              </w:rPr>
              <w:t>376</w:t>
            </w:r>
          </w:p>
        </w:tc>
        <w:tc>
          <w:tcPr>
            <w:tcW w:w="1728" w:type="dxa"/>
          </w:tcPr>
          <w:p w14:paraId="14475FDA" w14:textId="63EC391B" w:rsidR="00E5638A" w:rsidRPr="00E5638A" w:rsidRDefault="00E5638A" w:rsidP="00A71CB2">
            <w:pPr>
              <w:jc w:val="center"/>
              <w:rPr>
                <w:sz w:val="18"/>
              </w:rPr>
            </w:pPr>
            <w:r>
              <w:rPr>
                <w:sz w:val="18"/>
              </w:rPr>
              <w:t>394</w:t>
            </w:r>
          </w:p>
        </w:tc>
      </w:tr>
      <w:tr w:rsidR="00E5638A" w14:paraId="49E115A1" w14:textId="77777777" w:rsidTr="00A71CB2">
        <w:tc>
          <w:tcPr>
            <w:tcW w:w="4225" w:type="dxa"/>
          </w:tcPr>
          <w:p w14:paraId="1231F07C" w14:textId="0B136AF4" w:rsidR="00E5638A" w:rsidRPr="00E5638A" w:rsidRDefault="00E5638A" w:rsidP="00E5638A">
            <w:pPr>
              <w:rPr>
                <w:sz w:val="18"/>
              </w:rPr>
            </w:pPr>
            <w:r>
              <w:rPr>
                <w:sz w:val="18"/>
              </w:rPr>
              <w:t>Potential Student Impact</w:t>
            </w:r>
          </w:p>
        </w:tc>
        <w:tc>
          <w:tcPr>
            <w:tcW w:w="1638" w:type="dxa"/>
          </w:tcPr>
          <w:p w14:paraId="20E37E38" w14:textId="17415F37" w:rsidR="00E5638A" w:rsidRPr="00E5638A" w:rsidRDefault="00E5638A" w:rsidP="00A71CB2">
            <w:pPr>
              <w:jc w:val="center"/>
              <w:rPr>
                <w:sz w:val="18"/>
              </w:rPr>
            </w:pPr>
            <w:r>
              <w:rPr>
                <w:sz w:val="18"/>
              </w:rPr>
              <w:t>17,</w:t>
            </w:r>
            <w:r w:rsidR="00A71CB2">
              <w:rPr>
                <w:sz w:val="18"/>
              </w:rPr>
              <w:t>135</w:t>
            </w:r>
          </w:p>
        </w:tc>
        <w:tc>
          <w:tcPr>
            <w:tcW w:w="1728" w:type="dxa"/>
          </w:tcPr>
          <w:p w14:paraId="526DF486" w14:textId="6653452E" w:rsidR="00E5638A" w:rsidRPr="00E5638A" w:rsidRDefault="00E5638A" w:rsidP="00A71CB2">
            <w:pPr>
              <w:jc w:val="center"/>
              <w:rPr>
                <w:sz w:val="18"/>
              </w:rPr>
            </w:pPr>
            <w:r>
              <w:rPr>
                <w:sz w:val="18"/>
              </w:rPr>
              <w:t>12,360</w:t>
            </w:r>
          </w:p>
        </w:tc>
        <w:tc>
          <w:tcPr>
            <w:tcW w:w="1728" w:type="dxa"/>
          </w:tcPr>
          <w:p w14:paraId="5F4A8BC6" w14:textId="6DB7F1C1" w:rsidR="00E5638A" w:rsidRPr="00E5638A" w:rsidRDefault="00E5638A" w:rsidP="00A71CB2">
            <w:pPr>
              <w:jc w:val="center"/>
              <w:rPr>
                <w:sz w:val="18"/>
              </w:rPr>
            </w:pPr>
            <w:r>
              <w:rPr>
                <w:sz w:val="18"/>
              </w:rPr>
              <w:t>13,000</w:t>
            </w:r>
          </w:p>
        </w:tc>
      </w:tr>
    </w:tbl>
    <w:p w14:paraId="149D4D4D" w14:textId="77777777" w:rsidR="00417C67" w:rsidRPr="005B073A" w:rsidRDefault="00417C67" w:rsidP="00DC0105">
      <w:pPr>
        <w:pStyle w:val="PlainText"/>
        <w:tabs>
          <w:tab w:val="left" w:pos="360"/>
        </w:tabs>
        <w:rPr>
          <w:rFonts w:ascii="Times New Roman" w:hAnsi="Times New Roman" w:cs="Times New Roman"/>
          <w:sz w:val="22"/>
          <w:szCs w:val="22"/>
        </w:rPr>
      </w:pPr>
    </w:p>
    <w:p w14:paraId="1241CE33" w14:textId="3D8C898A" w:rsidR="003B3C54" w:rsidRDefault="00586F2B" w:rsidP="00586F2B">
      <w:pPr>
        <w:pStyle w:val="Heading1"/>
        <w:rPr>
          <w:i/>
          <w:iCs/>
          <w:sz w:val="22"/>
          <w:szCs w:val="22"/>
        </w:rPr>
      </w:pPr>
      <w:r>
        <w:t xml:space="preserve">III. </w:t>
      </w:r>
      <w:r w:rsidR="003B3C54" w:rsidRPr="005B073A">
        <w:t>Mission Statement:</w:t>
      </w:r>
      <w:r w:rsidR="003B3C54" w:rsidRPr="005B073A">
        <w:rPr>
          <w:sz w:val="22"/>
          <w:szCs w:val="22"/>
        </w:rPr>
        <w:t xml:space="preserve">  </w:t>
      </w:r>
    </w:p>
    <w:p w14:paraId="09D86886" w14:textId="092029DF" w:rsidR="00DC0105" w:rsidRPr="00586F2B" w:rsidRDefault="00DC0105" w:rsidP="00586F2B">
      <w:r w:rsidRPr="00586F2B">
        <w:t>CETL’s mission is to support the University’s faculty as they improve their teaching and create excellent learning experiences for our students.</w:t>
      </w:r>
    </w:p>
    <w:p w14:paraId="0082E895" w14:textId="04F6BF93" w:rsidR="003B3C54" w:rsidRPr="00586F2B" w:rsidRDefault="00586F2B" w:rsidP="00586F2B">
      <w:pPr>
        <w:pStyle w:val="Heading1"/>
      </w:pPr>
      <w:r>
        <w:t xml:space="preserve">IV. </w:t>
      </w:r>
      <w:r w:rsidR="003B3C54" w:rsidRPr="00586F2B">
        <w:t>Learning Outcomes</w:t>
      </w:r>
      <w:r w:rsidR="00A434B8" w:rsidRPr="00586F2B">
        <w:t>/Service Improvements</w:t>
      </w:r>
      <w:r w:rsidR="003B3C54" w:rsidRPr="00586F2B">
        <w:t>:</w:t>
      </w:r>
      <w:r w:rsidR="00A434B8" w:rsidRPr="00586F2B">
        <w:t xml:space="preserve"> Please include 3-5 learning outcomes/service improvements</w:t>
      </w:r>
      <w:r w:rsidR="00740785" w:rsidRPr="00586F2B">
        <w:t>.</w:t>
      </w:r>
    </w:p>
    <w:p w14:paraId="6DF9ABF7" w14:textId="77777777" w:rsidR="000B33A1" w:rsidRDefault="000B33A1" w:rsidP="000B33A1"/>
    <w:p w14:paraId="39215809" w14:textId="08BA4BC6" w:rsidR="00740785" w:rsidRDefault="00FC6E9D" w:rsidP="000B33A1">
      <w:r>
        <w:t>Service Improvement</w:t>
      </w:r>
      <w:r w:rsidR="00740785">
        <w:t xml:space="preserve"> 1:</w:t>
      </w:r>
      <w:r>
        <w:t xml:space="preserve"> </w:t>
      </w:r>
      <w:r w:rsidR="008171AE">
        <w:t>Continue to develop and diversify CETL programming.</w:t>
      </w:r>
    </w:p>
    <w:p w14:paraId="5AA00654" w14:textId="25C99D07" w:rsidR="00F86985" w:rsidRDefault="00F86985" w:rsidP="00BA1623">
      <w:pPr>
        <w:pStyle w:val="ListParagraph"/>
        <w:numPr>
          <w:ilvl w:val="0"/>
          <w:numId w:val="13"/>
        </w:numPr>
      </w:pPr>
      <w:r>
        <w:t>Game-based Learning Cohort</w:t>
      </w:r>
    </w:p>
    <w:p w14:paraId="7A94C6F8" w14:textId="69387384" w:rsidR="008A5F9F" w:rsidRDefault="00F86985" w:rsidP="00BA1623">
      <w:pPr>
        <w:pStyle w:val="ListParagraph"/>
        <w:numPr>
          <w:ilvl w:val="0"/>
          <w:numId w:val="13"/>
        </w:numPr>
      </w:pPr>
      <w:r>
        <w:t>Developed an asynchronous online course to help faculty learn how to effectively differentiate 400/500 stacked courses. (This was a response to the HLC areas of concern.)</w:t>
      </w:r>
    </w:p>
    <w:p w14:paraId="5CB0DACF" w14:textId="1DF89ED3" w:rsidR="00F86985" w:rsidRDefault="00F86985" w:rsidP="00F86985">
      <w:pPr>
        <w:pStyle w:val="ListParagraph"/>
        <w:numPr>
          <w:ilvl w:val="0"/>
          <w:numId w:val="13"/>
        </w:numPr>
      </w:pPr>
      <w:r>
        <w:t>Built a D2L course template for FYEX 100 First Year Seminar and planned to support instructors in 2019-20.</w:t>
      </w:r>
    </w:p>
    <w:p w14:paraId="65F1BA4D" w14:textId="19167404" w:rsidR="00F86985" w:rsidRDefault="00F86985" w:rsidP="00F86985">
      <w:pPr>
        <w:pStyle w:val="ListParagraph"/>
        <w:numPr>
          <w:ilvl w:val="0"/>
          <w:numId w:val="13"/>
        </w:numPr>
      </w:pPr>
      <w:r>
        <w:t>Developed a “getting started” information sheet for Withdraw &amp; Redirect course instructors.</w:t>
      </w:r>
    </w:p>
    <w:p w14:paraId="1DC7C9ED" w14:textId="77777777" w:rsidR="000B33A1" w:rsidRDefault="000B33A1" w:rsidP="000B33A1"/>
    <w:p w14:paraId="07479155" w14:textId="77777777" w:rsidR="00A71CB2" w:rsidRDefault="00A71CB2">
      <w:r>
        <w:br w:type="page"/>
      </w:r>
    </w:p>
    <w:p w14:paraId="4F3B206F" w14:textId="38F417F3" w:rsidR="00740785" w:rsidRDefault="00FC6E9D" w:rsidP="000B33A1">
      <w:r>
        <w:lastRenderedPageBreak/>
        <w:t>Service Improvement</w:t>
      </w:r>
      <w:r w:rsidR="00740785">
        <w:t xml:space="preserve"> 2:</w:t>
      </w:r>
      <w:r w:rsidR="008171AE">
        <w:t xml:space="preserve"> Improve communication and promotion of CETL programs.</w:t>
      </w:r>
    </w:p>
    <w:p w14:paraId="2394A17D" w14:textId="1BB38D86" w:rsidR="00F86985" w:rsidRDefault="00F86985" w:rsidP="00F86985">
      <w:pPr>
        <w:pStyle w:val="ListParagraph"/>
        <w:numPr>
          <w:ilvl w:val="0"/>
          <w:numId w:val="23"/>
        </w:numPr>
      </w:pPr>
      <w:r>
        <w:t>Content developed for the new CETL webpage – intended to be a first stop and encourage faculty to reach out for more information</w:t>
      </w:r>
    </w:p>
    <w:p w14:paraId="5249044D" w14:textId="20AEB3E7" w:rsidR="00F86985" w:rsidRDefault="00F86985" w:rsidP="00F86985">
      <w:pPr>
        <w:pStyle w:val="ListParagraph"/>
        <w:numPr>
          <w:ilvl w:val="0"/>
          <w:numId w:val="23"/>
        </w:numPr>
      </w:pPr>
      <w:r>
        <w:t>Wrote monthly emails to CETL list serve.</w:t>
      </w:r>
    </w:p>
    <w:p w14:paraId="18A7BC51" w14:textId="77777777" w:rsidR="000B33A1" w:rsidRDefault="000B33A1" w:rsidP="000B33A1"/>
    <w:p w14:paraId="2A5810C7" w14:textId="31D021A6" w:rsidR="00740785" w:rsidRDefault="008171AE" w:rsidP="000B33A1">
      <w:r>
        <w:t>Service Improvement 3: Collaborate and cooperate with the other</w:t>
      </w:r>
      <w:r w:rsidR="00BF0893">
        <w:t xml:space="preserve"> service areas located in ML 88 and across the university.</w:t>
      </w:r>
    </w:p>
    <w:p w14:paraId="08899D87" w14:textId="485287DD" w:rsidR="00BF0893" w:rsidRDefault="00F86985" w:rsidP="00BA1623">
      <w:pPr>
        <w:pStyle w:val="ListParagraph"/>
        <w:numPr>
          <w:ilvl w:val="0"/>
          <w:numId w:val="10"/>
        </w:numPr>
      </w:pPr>
      <w:r>
        <w:t xml:space="preserve">Continued the </w:t>
      </w:r>
      <w:r w:rsidR="00BF0893">
        <w:t>Build Your Online Course Boot Camp</w:t>
      </w:r>
      <w:r w:rsidR="008A5F9F">
        <w:t>s</w:t>
      </w:r>
      <w:r w:rsidR="00BF0893">
        <w:t xml:space="preserve"> with ATS </w:t>
      </w:r>
      <w:r w:rsidR="008A5F9F">
        <w:t xml:space="preserve">and </w:t>
      </w:r>
      <w:r>
        <w:t>Accessibility</w:t>
      </w:r>
      <w:r w:rsidR="008A5F9F">
        <w:t xml:space="preserve"> Resources</w:t>
      </w:r>
    </w:p>
    <w:p w14:paraId="3867FE0A" w14:textId="06B93683" w:rsidR="00BF0893" w:rsidRDefault="00F86985" w:rsidP="00BA1623">
      <w:pPr>
        <w:pStyle w:val="ListParagraph"/>
        <w:numPr>
          <w:ilvl w:val="0"/>
          <w:numId w:val="10"/>
        </w:numPr>
      </w:pPr>
      <w:r>
        <w:t xml:space="preserve">Refined the </w:t>
      </w:r>
      <w:r w:rsidR="00BF0893">
        <w:t>New Faculty Workshop with ATS</w:t>
      </w:r>
      <w:r w:rsidR="008A5F9F">
        <w:t xml:space="preserve">, </w:t>
      </w:r>
      <w:r w:rsidR="00BF0893">
        <w:t>CESR</w:t>
      </w:r>
      <w:r w:rsidR="008A5F9F">
        <w:t>, RASP, WAC</w:t>
      </w:r>
      <w:r w:rsidR="00BF0893">
        <w:t xml:space="preserve"> (August </w:t>
      </w:r>
      <w:r>
        <w:t>20</w:t>
      </w:r>
      <w:r w:rsidR="00BF0893">
        <w:t>, 201</w:t>
      </w:r>
      <w:r>
        <w:t>9</w:t>
      </w:r>
      <w:r w:rsidR="00BF0893">
        <w:t>)</w:t>
      </w:r>
    </w:p>
    <w:p w14:paraId="1399747B" w14:textId="77777777" w:rsidR="000B33A1" w:rsidRDefault="000B33A1" w:rsidP="000B33A1"/>
    <w:p w14:paraId="15CE313A" w14:textId="1BA13C77" w:rsidR="008171AE" w:rsidRDefault="008171AE" w:rsidP="000B33A1">
      <w:r>
        <w:t xml:space="preserve">Service Improvement 4: Document CETL activities and procedures into a handbook that will facilitate transition between directors. </w:t>
      </w:r>
    </w:p>
    <w:p w14:paraId="2EBF7DBD" w14:textId="0A6CE4D5" w:rsidR="008A5F9F" w:rsidRDefault="008A5F9F" w:rsidP="00BA1623">
      <w:pPr>
        <w:pStyle w:val="ListParagraph"/>
        <w:numPr>
          <w:ilvl w:val="0"/>
          <w:numId w:val="11"/>
        </w:numPr>
      </w:pPr>
      <w:r>
        <w:t>Documented CETL Director activities and information (ongoing).</w:t>
      </w:r>
    </w:p>
    <w:p w14:paraId="0E937D6C" w14:textId="57AE802D" w:rsidR="00F86985" w:rsidRDefault="00F86985" w:rsidP="00BA1623">
      <w:pPr>
        <w:pStyle w:val="ListParagraph"/>
        <w:numPr>
          <w:ilvl w:val="0"/>
          <w:numId w:val="11"/>
        </w:numPr>
      </w:pPr>
      <w:r>
        <w:t xml:space="preserve">Created a Microsoft Team to store documentation, shared materials, and other items to facilitate transition between directors. </w:t>
      </w:r>
    </w:p>
    <w:p w14:paraId="4FD3386B" w14:textId="77777777" w:rsidR="000B33A1" w:rsidRDefault="000B33A1" w:rsidP="000B33A1"/>
    <w:p w14:paraId="60ED64A9" w14:textId="733C34D1" w:rsidR="008A5F9F" w:rsidRDefault="000B33A1" w:rsidP="000B33A1">
      <w:r>
        <w:t xml:space="preserve">Service Improvement 5: </w:t>
      </w:r>
      <w:r w:rsidR="008A5F9F">
        <w:t xml:space="preserve">Assist Academic Affairs in developing a strategy for improving quality of teaching, learning, and student experience in 100% online programs through the Online Learning and Models Capability Audit. </w:t>
      </w:r>
    </w:p>
    <w:p w14:paraId="7D345869" w14:textId="360F194E" w:rsidR="000B33A1" w:rsidRDefault="00F86985" w:rsidP="00F86985">
      <w:pPr>
        <w:pStyle w:val="ListParagraph"/>
        <w:numPr>
          <w:ilvl w:val="0"/>
          <w:numId w:val="12"/>
        </w:numPr>
        <w:sectPr w:rsidR="000B33A1" w:rsidSect="00FF40E3">
          <w:headerReference w:type="default" r:id="rId8"/>
          <w:footerReference w:type="default" r:id="rId9"/>
          <w:pgSz w:w="12240" w:h="15840"/>
          <w:pgMar w:top="1440" w:right="1440" w:bottom="1440" w:left="1440" w:header="720" w:footer="720" w:gutter="0"/>
          <w:cols w:space="720"/>
          <w:docGrid w:linePitch="360"/>
        </w:sectPr>
      </w:pPr>
      <w:r>
        <w:t xml:space="preserve">Continued promoting the Purple Standard for Online Course Design and the Competencies for Online Instructors. </w:t>
      </w:r>
    </w:p>
    <w:p w14:paraId="0F885C97" w14:textId="77777777" w:rsidR="00C80B44" w:rsidRPr="00F86985" w:rsidRDefault="00C80B44" w:rsidP="00F86985">
      <w:pPr>
        <w:tabs>
          <w:tab w:val="left" w:pos="360"/>
        </w:tabs>
        <w:rPr>
          <w:sz w:val="22"/>
          <w:szCs w:val="22"/>
        </w:rPr>
      </w:pPr>
    </w:p>
    <w:tbl>
      <w:tblPr>
        <w:tblW w:w="147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3150"/>
        <w:gridCol w:w="2070"/>
        <w:gridCol w:w="3632"/>
        <w:gridCol w:w="1604"/>
        <w:gridCol w:w="1627"/>
      </w:tblGrid>
      <w:tr w:rsidR="00CD27F9" w:rsidRPr="005B073A" w14:paraId="10A99CED" w14:textId="77777777" w:rsidTr="00407DD3">
        <w:trPr>
          <w:tblHeader/>
        </w:trPr>
        <w:tc>
          <w:tcPr>
            <w:tcW w:w="2677" w:type="dxa"/>
            <w:shd w:val="clear" w:color="auto" w:fill="FFFFFF" w:themeFill="background1"/>
          </w:tcPr>
          <w:p w14:paraId="7D54CC77" w14:textId="77777777" w:rsidR="00A7207E" w:rsidRPr="00A7207E" w:rsidRDefault="00A7207E" w:rsidP="001A140C">
            <w:pPr>
              <w:tabs>
                <w:tab w:val="left" w:pos="0"/>
              </w:tabs>
              <w:ind w:hanging="18"/>
              <w:jc w:val="center"/>
              <w:rPr>
                <w:b/>
                <w:i/>
                <w:sz w:val="20"/>
                <w:szCs w:val="20"/>
              </w:rPr>
            </w:pPr>
            <w:r>
              <w:rPr>
                <w:b/>
                <w:i/>
                <w:sz w:val="20"/>
                <w:szCs w:val="20"/>
              </w:rPr>
              <w:t>Institutional Student Learning Outcomes (ISLO)</w:t>
            </w:r>
          </w:p>
        </w:tc>
        <w:tc>
          <w:tcPr>
            <w:tcW w:w="3150" w:type="dxa"/>
            <w:shd w:val="clear" w:color="auto" w:fill="FFFFFF" w:themeFill="background1"/>
          </w:tcPr>
          <w:p w14:paraId="3934F99A" w14:textId="77777777" w:rsidR="00A7207E" w:rsidRPr="00A7207E" w:rsidRDefault="00A7207E" w:rsidP="001A140C">
            <w:pPr>
              <w:tabs>
                <w:tab w:val="left" w:pos="-18"/>
              </w:tabs>
              <w:ind w:hanging="18"/>
              <w:jc w:val="center"/>
              <w:rPr>
                <w:b/>
                <w:i/>
                <w:sz w:val="20"/>
                <w:szCs w:val="20"/>
              </w:rPr>
            </w:pPr>
            <w:r>
              <w:rPr>
                <w:b/>
                <w:i/>
                <w:sz w:val="20"/>
                <w:szCs w:val="20"/>
              </w:rPr>
              <w:t xml:space="preserve">Program/Division </w:t>
            </w:r>
            <w:r w:rsidRPr="00A7207E">
              <w:rPr>
                <w:b/>
                <w:i/>
                <w:sz w:val="20"/>
                <w:szCs w:val="20"/>
              </w:rPr>
              <w:t>Student Learning Outcomes</w:t>
            </w:r>
            <w:r>
              <w:rPr>
                <w:b/>
                <w:i/>
                <w:sz w:val="20"/>
                <w:szCs w:val="20"/>
              </w:rPr>
              <w:t xml:space="preserve"> (SLO)</w:t>
            </w:r>
          </w:p>
        </w:tc>
        <w:tc>
          <w:tcPr>
            <w:tcW w:w="2070" w:type="dxa"/>
            <w:shd w:val="clear" w:color="auto" w:fill="FFFFFF" w:themeFill="background1"/>
          </w:tcPr>
          <w:p w14:paraId="405852E6" w14:textId="77777777" w:rsidR="00A7207E" w:rsidRPr="00A7207E" w:rsidRDefault="00A7207E" w:rsidP="001A140C">
            <w:pPr>
              <w:tabs>
                <w:tab w:val="left" w:pos="0"/>
              </w:tabs>
              <w:jc w:val="center"/>
              <w:rPr>
                <w:b/>
                <w:i/>
                <w:sz w:val="20"/>
                <w:szCs w:val="20"/>
              </w:rPr>
            </w:pPr>
            <w:r w:rsidRPr="00A7207E">
              <w:rPr>
                <w:b/>
                <w:i/>
                <w:sz w:val="20"/>
                <w:szCs w:val="20"/>
              </w:rPr>
              <w:t>Assessment Methods/Measure (How were outcomes assessed?)</w:t>
            </w:r>
          </w:p>
        </w:tc>
        <w:tc>
          <w:tcPr>
            <w:tcW w:w="3632" w:type="dxa"/>
            <w:shd w:val="clear" w:color="auto" w:fill="FFFFFF" w:themeFill="background1"/>
          </w:tcPr>
          <w:p w14:paraId="1771261C" w14:textId="77777777" w:rsidR="00A7207E" w:rsidRPr="00A7207E" w:rsidRDefault="00A7207E" w:rsidP="001A140C">
            <w:pPr>
              <w:tabs>
                <w:tab w:val="left" w:pos="-18"/>
              </w:tabs>
              <w:ind w:hanging="18"/>
              <w:jc w:val="center"/>
              <w:rPr>
                <w:b/>
                <w:i/>
                <w:sz w:val="20"/>
                <w:szCs w:val="20"/>
              </w:rPr>
            </w:pPr>
            <w:r w:rsidRPr="00A7207E">
              <w:rPr>
                <w:b/>
                <w:i/>
                <w:sz w:val="20"/>
                <w:szCs w:val="20"/>
              </w:rPr>
              <w:t>Assessment Benchmark(s)</w:t>
            </w:r>
          </w:p>
        </w:tc>
        <w:tc>
          <w:tcPr>
            <w:tcW w:w="1604" w:type="dxa"/>
            <w:shd w:val="clear" w:color="auto" w:fill="FFFFFF" w:themeFill="background1"/>
          </w:tcPr>
          <w:p w14:paraId="6ACFD0DE" w14:textId="77777777" w:rsidR="00A7207E" w:rsidRPr="00A7207E" w:rsidRDefault="00A7207E" w:rsidP="001A140C">
            <w:pPr>
              <w:tabs>
                <w:tab w:val="left" w:pos="-18"/>
              </w:tabs>
              <w:ind w:hanging="18"/>
              <w:jc w:val="center"/>
              <w:rPr>
                <w:b/>
                <w:i/>
                <w:sz w:val="20"/>
                <w:szCs w:val="20"/>
              </w:rPr>
            </w:pPr>
            <w:r w:rsidRPr="00A7207E">
              <w:rPr>
                <w:b/>
                <w:i/>
                <w:sz w:val="20"/>
                <w:szCs w:val="20"/>
              </w:rPr>
              <w:t>Assessment Findings/ Results</w:t>
            </w:r>
          </w:p>
        </w:tc>
        <w:tc>
          <w:tcPr>
            <w:tcW w:w="1627" w:type="dxa"/>
            <w:shd w:val="clear" w:color="auto" w:fill="FFFFFF" w:themeFill="background1"/>
          </w:tcPr>
          <w:p w14:paraId="418CC68A" w14:textId="77777777" w:rsidR="00A7207E" w:rsidRPr="00A7207E" w:rsidRDefault="00A7207E" w:rsidP="001A140C">
            <w:pPr>
              <w:tabs>
                <w:tab w:val="left" w:pos="-18"/>
              </w:tabs>
              <w:jc w:val="center"/>
              <w:rPr>
                <w:b/>
                <w:i/>
                <w:sz w:val="20"/>
                <w:szCs w:val="20"/>
              </w:rPr>
            </w:pPr>
            <w:r w:rsidRPr="00A7207E">
              <w:rPr>
                <w:b/>
                <w:i/>
                <w:sz w:val="20"/>
                <w:szCs w:val="20"/>
              </w:rPr>
              <w:t>Improvements based on results</w:t>
            </w:r>
          </w:p>
          <w:p w14:paraId="50A97991" w14:textId="77777777" w:rsidR="00A7207E" w:rsidRPr="00A7207E" w:rsidRDefault="00A7207E" w:rsidP="001A140C">
            <w:pPr>
              <w:tabs>
                <w:tab w:val="left" w:pos="360"/>
              </w:tabs>
              <w:ind w:left="360" w:hanging="360"/>
              <w:jc w:val="center"/>
              <w:rPr>
                <w:b/>
                <w:i/>
                <w:sz w:val="20"/>
                <w:szCs w:val="20"/>
              </w:rPr>
            </w:pPr>
          </w:p>
        </w:tc>
      </w:tr>
      <w:tr w:rsidR="00CD27F9" w:rsidRPr="005B073A" w14:paraId="6350751D" w14:textId="77777777" w:rsidTr="00407DD3">
        <w:trPr>
          <w:tblHeader/>
        </w:trPr>
        <w:tc>
          <w:tcPr>
            <w:tcW w:w="2677" w:type="dxa"/>
          </w:tcPr>
          <w:p w14:paraId="54311B32" w14:textId="77777777" w:rsidR="00A7207E" w:rsidRPr="00FA02A5" w:rsidRDefault="00A7207E" w:rsidP="006D3ED1">
            <w:pPr>
              <w:tabs>
                <w:tab w:val="left" w:pos="0"/>
              </w:tabs>
              <w:rPr>
                <w:b/>
                <w:sz w:val="20"/>
                <w:szCs w:val="20"/>
              </w:rPr>
            </w:pPr>
            <w:r w:rsidRPr="00FA02A5">
              <w:rPr>
                <w:b/>
                <w:sz w:val="20"/>
                <w:szCs w:val="20"/>
              </w:rPr>
              <w:t>ISLO 1:  Academic achievement</w:t>
            </w:r>
          </w:p>
          <w:p w14:paraId="7AED2FB1" w14:textId="77777777" w:rsidR="00DD2AC8" w:rsidRDefault="00DD2AC8" w:rsidP="006D3ED1">
            <w:pPr>
              <w:tabs>
                <w:tab w:val="left" w:pos="0"/>
              </w:tabs>
              <w:rPr>
                <w:b/>
                <w:i/>
                <w:sz w:val="20"/>
                <w:szCs w:val="20"/>
              </w:rPr>
            </w:pPr>
          </w:p>
          <w:p w14:paraId="1E381BE0" w14:textId="36E400EE" w:rsidR="00FA02A5" w:rsidRPr="00FA02A5" w:rsidRDefault="00FA02A5" w:rsidP="006D3ED1">
            <w:pPr>
              <w:tabs>
                <w:tab w:val="left" w:pos="0"/>
              </w:tabs>
              <w:rPr>
                <w:i/>
                <w:sz w:val="20"/>
                <w:szCs w:val="20"/>
              </w:rPr>
            </w:pPr>
            <w:r>
              <w:rPr>
                <w:i/>
                <w:sz w:val="20"/>
                <w:szCs w:val="20"/>
              </w:rPr>
              <w:t>Participants</w:t>
            </w:r>
            <w:r w:rsidRPr="00FA02A5">
              <w:rPr>
                <w:i/>
                <w:sz w:val="20"/>
                <w:szCs w:val="20"/>
              </w:rPr>
              <w:t xml:space="preserve"> will demonstrate competence in specific areas of academic disciplines that will directly impact their career endeavors.</w:t>
            </w:r>
          </w:p>
          <w:p w14:paraId="784B9408" w14:textId="4A16E09A" w:rsidR="00DD2AC8" w:rsidRPr="00A7207E" w:rsidRDefault="00DD2AC8" w:rsidP="006D3ED1">
            <w:pPr>
              <w:tabs>
                <w:tab w:val="left" w:pos="0"/>
              </w:tabs>
              <w:rPr>
                <w:i/>
                <w:sz w:val="20"/>
                <w:szCs w:val="20"/>
              </w:rPr>
            </w:pPr>
          </w:p>
        </w:tc>
        <w:tc>
          <w:tcPr>
            <w:tcW w:w="3150" w:type="dxa"/>
          </w:tcPr>
          <w:p w14:paraId="25F35770" w14:textId="77777777" w:rsidR="00A7207E" w:rsidRPr="00FA02A5" w:rsidRDefault="00A7207E" w:rsidP="00704155">
            <w:pPr>
              <w:tabs>
                <w:tab w:val="left" w:pos="0"/>
              </w:tabs>
              <w:rPr>
                <w:i/>
                <w:sz w:val="20"/>
                <w:szCs w:val="20"/>
              </w:rPr>
            </w:pPr>
            <w:r w:rsidRPr="00FA02A5">
              <w:rPr>
                <w:i/>
                <w:sz w:val="20"/>
                <w:szCs w:val="20"/>
              </w:rPr>
              <w:t>SLO #</w:t>
            </w:r>
            <w:r w:rsidR="008E6915" w:rsidRPr="00FA02A5">
              <w:rPr>
                <w:i/>
                <w:sz w:val="20"/>
                <w:szCs w:val="20"/>
              </w:rPr>
              <w:t>1</w:t>
            </w:r>
            <w:r w:rsidRPr="00FA02A5">
              <w:rPr>
                <w:i/>
                <w:sz w:val="20"/>
                <w:szCs w:val="20"/>
              </w:rPr>
              <w:t xml:space="preserve">: </w:t>
            </w:r>
            <w:r w:rsidR="00704155" w:rsidRPr="00FA02A5">
              <w:rPr>
                <w:i/>
                <w:sz w:val="20"/>
                <w:szCs w:val="20"/>
              </w:rPr>
              <w:t>Improve participation rates in CETL programs related to teaching and learning</w:t>
            </w:r>
            <w:r w:rsidRPr="00FA02A5">
              <w:rPr>
                <w:i/>
                <w:sz w:val="20"/>
                <w:szCs w:val="20"/>
              </w:rPr>
              <w:t>.</w:t>
            </w:r>
          </w:p>
          <w:p w14:paraId="036E2B79" w14:textId="77777777" w:rsidR="007845DB" w:rsidRPr="00FA02A5" w:rsidRDefault="007845DB" w:rsidP="00704155">
            <w:pPr>
              <w:tabs>
                <w:tab w:val="left" w:pos="0"/>
              </w:tabs>
              <w:rPr>
                <w:i/>
                <w:sz w:val="20"/>
                <w:szCs w:val="20"/>
              </w:rPr>
            </w:pPr>
          </w:p>
          <w:p w14:paraId="6AB351E7" w14:textId="77777777" w:rsidR="007845DB" w:rsidRPr="00FA02A5" w:rsidRDefault="007845DB" w:rsidP="007845DB">
            <w:pPr>
              <w:tabs>
                <w:tab w:val="left" w:pos="0"/>
              </w:tabs>
              <w:rPr>
                <w:i/>
                <w:sz w:val="20"/>
                <w:szCs w:val="20"/>
              </w:rPr>
            </w:pPr>
            <w:r w:rsidRPr="00FA02A5">
              <w:rPr>
                <w:i/>
                <w:sz w:val="20"/>
                <w:szCs w:val="20"/>
              </w:rPr>
              <w:t xml:space="preserve">SLO #2: Improve faculty teaching, course design, and student learning experiences.  </w:t>
            </w:r>
          </w:p>
          <w:p w14:paraId="7C5A0293" w14:textId="77777777" w:rsidR="00550003" w:rsidRPr="00FA02A5" w:rsidRDefault="00550003" w:rsidP="007845DB">
            <w:pPr>
              <w:tabs>
                <w:tab w:val="left" w:pos="0"/>
              </w:tabs>
              <w:rPr>
                <w:i/>
                <w:sz w:val="20"/>
                <w:szCs w:val="20"/>
              </w:rPr>
            </w:pPr>
          </w:p>
          <w:p w14:paraId="33B4DDF5" w14:textId="2421C4AE" w:rsidR="00550003" w:rsidRPr="00FA02A5" w:rsidRDefault="00550003" w:rsidP="007845DB">
            <w:pPr>
              <w:tabs>
                <w:tab w:val="left" w:pos="0"/>
              </w:tabs>
              <w:rPr>
                <w:i/>
                <w:sz w:val="20"/>
                <w:szCs w:val="20"/>
              </w:rPr>
            </w:pPr>
            <w:r w:rsidRPr="00FA02A5">
              <w:rPr>
                <w:i/>
                <w:sz w:val="20"/>
                <w:szCs w:val="20"/>
              </w:rPr>
              <w:t>SLO #3: Improve faculty satisfaction with CETL programming.</w:t>
            </w:r>
          </w:p>
        </w:tc>
        <w:tc>
          <w:tcPr>
            <w:tcW w:w="2070" w:type="dxa"/>
          </w:tcPr>
          <w:p w14:paraId="76CDC629" w14:textId="77777777" w:rsidR="00DD2AC8" w:rsidRDefault="00704155" w:rsidP="00704155">
            <w:pPr>
              <w:ind w:left="162" w:hanging="162"/>
              <w:rPr>
                <w:i/>
                <w:sz w:val="20"/>
                <w:szCs w:val="20"/>
              </w:rPr>
            </w:pPr>
            <w:r>
              <w:rPr>
                <w:i/>
                <w:sz w:val="20"/>
                <w:szCs w:val="20"/>
              </w:rPr>
              <w:t>Program registrations</w:t>
            </w:r>
          </w:p>
          <w:p w14:paraId="4810F3F1" w14:textId="55EC7569" w:rsidR="00550003" w:rsidRDefault="00704155" w:rsidP="00407DD3">
            <w:pPr>
              <w:rPr>
                <w:i/>
                <w:sz w:val="20"/>
                <w:szCs w:val="20"/>
              </w:rPr>
            </w:pPr>
            <w:r>
              <w:rPr>
                <w:i/>
                <w:sz w:val="20"/>
                <w:szCs w:val="20"/>
              </w:rPr>
              <w:t>Program attendance logs</w:t>
            </w:r>
          </w:p>
          <w:p w14:paraId="4569C6D3" w14:textId="77777777" w:rsidR="00BD2B83" w:rsidRDefault="00BD2B83" w:rsidP="00704155">
            <w:pPr>
              <w:ind w:left="162" w:hanging="162"/>
              <w:rPr>
                <w:i/>
                <w:sz w:val="20"/>
                <w:szCs w:val="20"/>
              </w:rPr>
            </w:pPr>
          </w:p>
          <w:p w14:paraId="617695F7" w14:textId="55420819" w:rsidR="007845DB" w:rsidRDefault="00407DD3" w:rsidP="00550003">
            <w:pPr>
              <w:rPr>
                <w:i/>
                <w:sz w:val="20"/>
                <w:szCs w:val="20"/>
              </w:rPr>
            </w:pPr>
            <w:r>
              <w:rPr>
                <w:i/>
                <w:sz w:val="20"/>
                <w:szCs w:val="20"/>
              </w:rPr>
              <w:t>Anecdotal data</w:t>
            </w:r>
          </w:p>
          <w:p w14:paraId="4BB2EA8F" w14:textId="77777777" w:rsidR="00550003" w:rsidRDefault="00550003" w:rsidP="00407DD3">
            <w:pPr>
              <w:rPr>
                <w:i/>
                <w:sz w:val="20"/>
                <w:szCs w:val="20"/>
              </w:rPr>
            </w:pPr>
          </w:p>
          <w:p w14:paraId="24AD84B9" w14:textId="77777777" w:rsidR="00550003" w:rsidRDefault="00550003" w:rsidP="00550003">
            <w:pPr>
              <w:ind w:left="162" w:hanging="162"/>
              <w:rPr>
                <w:i/>
                <w:sz w:val="20"/>
                <w:szCs w:val="20"/>
              </w:rPr>
            </w:pPr>
            <w:r>
              <w:rPr>
                <w:i/>
                <w:sz w:val="20"/>
                <w:szCs w:val="20"/>
              </w:rPr>
              <w:t>Stakeholder interviews</w:t>
            </w:r>
          </w:p>
          <w:p w14:paraId="4D1A07D1" w14:textId="2FC97F8E" w:rsidR="00550003" w:rsidRPr="00A7207E" w:rsidRDefault="00550003" w:rsidP="00550003">
            <w:pPr>
              <w:rPr>
                <w:i/>
                <w:sz w:val="20"/>
                <w:szCs w:val="20"/>
              </w:rPr>
            </w:pPr>
            <w:r>
              <w:rPr>
                <w:i/>
                <w:sz w:val="20"/>
                <w:szCs w:val="20"/>
              </w:rPr>
              <w:t>Participant surveys</w:t>
            </w:r>
          </w:p>
        </w:tc>
        <w:tc>
          <w:tcPr>
            <w:tcW w:w="3632" w:type="dxa"/>
          </w:tcPr>
          <w:p w14:paraId="02940A7B" w14:textId="722CBCF8" w:rsidR="00A7207E" w:rsidRPr="00A7207E" w:rsidRDefault="00407DD3" w:rsidP="007432B9">
            <w:pPr>
              <w:tabs>
                <w:tab w:val="left" w:pos="0"/>
              </w:tabs>
              <w:rPr>
                <w:i/>
                <w:sz w:val="20"/>
                <w:szCs w:val="20"/>
              </w:rPr>
            </w:pPr>
            <w:r>
              <w:rPr>
                <w:i/>
                <w:sz w:val="20"/>
                <w:szCs w:val="20"/>
              </w:rPr>
              <w:t>Maintain</w:t>
            </w:r>
            <w:r w:rsidR="00550003">
              <w:rPr>
                <w:i/>
                <w:sz w:val="20"/>
                <w:szCs w:val="20"/>
              </w:rPr>
              <w:t xml:space="preserve"> participation rates </w:t>
            </w:r>
            <w:r w:rsidR="00717AA4">
              <w:rPr>
                <w:i/>
                <w:sz w:val="20"/>
                <w:szCs w:val="20"/>
              </w:rPr>
              <w:t xml:space="preserve">(overall and by college) </w:t>
            </w:r>
            <w:r w:rsidR="00550003">
              <w:rPr>
                <w:i/>
                <w:sz w:val="20"/>
                <w:szCs w:val="20"/>
              </w:rPr>
              <w:t>compared to previous year.</w:t>
            </w:r>
          </w:p>
          <w:p w14:paraId="29DD4299" w14:textId="77777777" w:rsidR="00550003" w:rsidRDefault="00550003" w:rsidP="00550003">
            <w:pPr>
              <w:tabs>
                <w:tab w:val="left" w:pos="0"/>
              </w:tabs>
              <w:rPr>
                <w:i/>
                <w:sz w:val="20"/>
                <w:szCs w:val="20"/>
              </w:rPr>
            </w:pPr>
          </w:p>
          <w:p w14:paraId="6151443D" w14:textId="5DB028B7" w:rsidR="00550003" w:rsidRDefault="00550003" w:rsidP="00550003">
            <w:pPr>
              <w:tabs>
                <w:tab w:val="left" w:pos="0"/>
              </w:tabs>
              <w:rPr>
                <w:i/>
                <w:sz w:val="20"/>
                <w:szCs w:val="20"/>
              </w:rPr>
            </w:pPr>
            <w:r>
              <w:rPr>
                <w:i/>
                <w:sz w:val="20"/>
                <w:szCs w:val="20"/>
              </w:rPr>
              <w:t>Implementation of ideas and techniques into student learning experiences within 12 months.</w:t>
            </w:r>
          </w:p>
          <w:p w14:paraId="05FD60CD" w14:textId="77777777" w:rsidR="00BD2B83" w:rsidRDefault="00BD2B83" w:rsidP="00550003">
            <w:pPr>
              <w:tabs>
                <w:tab w:val="left" w:pos="0"/>
              </w:tabs>
              <w:rPr>
                <w:i/>
                <w:sz w:val="20"/>
                <w:szCs w:val="20"/>
              </w:rPr>
            </w:pPr>
          </w:p>
          <w:p w14:paraId="69DE178F" w14:textId="47C88A9E" w:rsidR="00A7207E" w:rsidRPr="00A7207E" w:rsidRDefault="00BD2B83" w:rsidP="007432B9">
            <w:pPr>
              <w:tabs>
                <w:tab w:val="left" w:pos="0"/>
              </w:tabs>
              <w:rPr>
                <w:i/>
                <w:sz w:val="20"/>
                <w:szCs w:val="20"/>
              </w:rPr>
            </w:pPr>
            <w:r w:rsidRPr="00BD2B83">
              <w:rPr>
                <w:i/>
                <w:sz w:val="20"/>
                <w:szCs w:val="20"/>
              </w:rPr>
              <w:t xml:space="preserve">Improve </w:t>
            </w:r>
            <w:r>
              <w:rPr>
                <w:i/>
                <w:sz w:val="20"/>
                <w:szCs w:val="20"/>
              </w:rPr>
              <w:t xml:space="preserve">participant </w:t>
            </w:r>
            <w:r w:rsidRPr="00BD2B83">
              <w:rPr>
                <w:i/>
                <w:sz w:val="20"/>
                <w:szCs w:val="20"/>
              </w:rPr>
              <w:t xml:space="preserve">satisfaction ratings to an average of 4.0 or greater on a 5.0 Likert scale across colleges </w:t>
            </w:r>
          </w:p>
        </w:tc>
        <w:tc>
          <w:tcPr>
            <w:tcW w:w="1604" w:type="dxa"/>
          </w:tcPr>
          <w:p w14:paraId="512FBB41" w14:textId="319BBBB2" w:rsidR="00CD1F2F" w:rsidRPr="00A7207E" w:rsidRDefault="00A92AD3" w:rsidP="00A92AD3">
            <w:pPr>
              <w:rPr>
                <w:i/>
                <w:sz w:val="20"/>
                <w:szCs w:val="20"/>
              </w:rPr>
            </w:pPr>
            <w:r w:rsidRPr="00A92AD3">
              <w:rPr>
                <w:i/>
                <w:sz w:val="20"/>
                <w:szCs w:val="20"/>
              </w:rPr>
              <w:t>See below</w:t>
            </w:r>
          </w:p>
        </w:tc>
        <w:tc>
          <w:tcPr>
            <w:tcW w:w="1627" w:type="dxa"/>
          </w:tcPr>
          <w:p w14:paraId="4F008DE5" w14:textId="20DCC6B7" w:rsidR="0060652B" w:rsidRPr="00FE20C4" w:rsidRDefault="00A92AD3" w:rsidP="00A92AD3">
            <w:pPr>
              <w:rPr>
                <w:i/>
                <w:sz w:val="20"/>
                <w:szCs w:val="20"/>
              </w:rPr>
            </w:pPr>
            <w:r>
              <w:rPr>
                <w:i/>
                <w:sz w:val="20"/>
                <w:szCs w:val="20"/>
              </w:rPr>
              <w:t>See below</w:t>
            </w:r>
          </w:p>
        </w:tc>
      </w:tr>
      <w:tr w:rsidR="00CD27F9" w:rsidRPr="005B073A" w14:paraId="2985175D" w14:textId="77777777" w:rsidTr="00407DD3">
        <w:trPr>
          <w:tblHeader/>
        </w:trPr>
        <w:tc>
          <w:tcPr>
            <w:tcW w:w="2677" w:type="dxa"/>
          </w:tcPr>
          <w:p w14:paraId="1A2E2FD4" w14:textId="7B7EF4BD" w:rsidR="00A7207E" w:rsidRPr="00FA02A5" w:rsidRDefault="00DD2AC8" w:rsidP="006D3ED1">
            <w:pPr>
              <w:tabs>
                <w:tab w:val="left" w:pos="0"/>
              </w:tabs>
              <w:rPr>
                <w:b/>
                <w:sz w:val="20"/>
                <w:szCs w:val="20"/>
              </w:rPr>
            </w:pPr>
            <w:r w:rsidRPr="00FA02A5">
              <w:rPr>
                <w:b/>
                <w:sz w:val="20"/>
                <w:szCs w:val="20"/>
              </w:rPr>
              <w:t>ISLO</w:t>
            </w:r>
            <w:r w:rsidR="00CE1782" w:rsidRPr="00FA02A5">
              <w:rPr>
                <w:b/>
                <w:sz w:val="20"/>
                <w:szCs w:val="20"/>
              </w:rPr>
              <w:t xml:space="preserve"> 2:  Civic engagement</w:t>
            </w:r>
          </w:p>
          <w:p w14:paraId="1A44DD18" w14:textId="77777777" w:rsidR="00FA02A5" w:rsidRDefault="00FA02A5" w:rsidP="006D3ED1">
            <w:pPr>
              <w:tabs>
                <w:tab w:val="left" w:pos="0"/>
              </w:tabs>
              <w:rPr>
                <w:i/>
                <w:sz w:val="20"/>
                <w:szCs w:val="20"/>
              </w:rPr>
            </w:pPr>
          </w:p>
          <w:p w14:paraId="20A9BB18" w14:textId="1B09BE85" w:rsidR="00FA02A5" w:rsidRPr="00A7207E" w:rsidRDefault="00FA02A5" w:rsidP="006D3ED1">
            <w:pPr>
              <w:tabs>
                <w:tab w:val="left" w:pos="0"/>
              </w:tabs>
              <w:rPr>
                <w:i/>
                <w:sz w:val="20"/>
                <w:szCs w:val="20"/>
              </w:rPr>
            </w:pPr>
            <w:r>
              <w:rPr>
                <w:i/>
                <w:sz w:val="20"/>
                <w:szCs w:val="20"/>
              </w:rPr>
              <w:t>Participants</w:t>
            </w:r>
            <w:r w:rsidRPr="00FA02A5">
              <w:rPr>
                <w:i/>
                <w:sz w:val="20"/>
                <w:szCs w:val="20"/>
              </w:rPr>
              <w:t xml:space="preserve"> will demonstrate the awareness, knowledge, and skills to actively participate individually or collectively on issues of societal concern.</w:t>
            </w:r>
          </w:p>
        </w:tc>
        <w:tc>
          <w:tcPr>
            <w:tcW w:w="3150" w:type="dxa"/>
          </w:tcPr>
          <w:p w14:paraId="2A7B4E3A" w14:textId="1C1E6162" w:rsidR="00A7207E" w:rsidRPr="00FA02A5" w:rsidRDefault="00CE1782" w:rsidP="00FA02A5">
            <w:pPr>
              <w:tabs>
                <w:tab w:val="left" w:pos="0"/>
              </w:tabs>
              <w:rPr>
                <w:i/>
                <w:sz w:val="20"/>
                <w:szCs w:val="20"/>
              </w:rPr>
            </w:pPr>
            <w:r w:rsidRPr="00FA02A5">
              <w:rPr>
                <w:i/>
                <w:sz w:val="20"/>
                <w:szCs w:val="20"/>
              </w:rPr>
              <w:t>SLO #</w:t>
            </w:r>
            <w:r w:rsidR="009F0450">
              <w:rPr>
                <w:i/>
                <w:sz w:val="20"/>
                <w:szCs w:val="20"/>
              </w:rPr>
              <w:t>4</w:t>
            </w:r>
            <w:r w:rsidRPr="00FA02A5">
              <w:rPr>
                <w:i/>
                <w:sz w:val="20"/>
                <w:szCs w:val="20"/>
              </w:rPr>
              <w:t xml:space="preserve">:  </w:t>
            </w:r>
            <w:r w:rsidR="00E12333" w:rsidRPr="00FA02A5">
              <w:rPr>
                <w:i/>
                <w:sz w:val="20"/>
                <w:szCs w:val="20"/>
              </w:rPr>
              <w:t xml:space="preserve">Improve </w:t>
            </w:r>
            <w:r w:rsidR="00FA02A5" w:rsidRPr="00FA02A5">
              <w:rPr>
                <w:i/>
                <w:sz w:val="20"/>
                <w:szCs w:val="20"/>
              </w:rPr>
              <w:t xml:space="preserve">faculty and staff </w:t>
            </w:r>
            <w:r w:rsidR="00E12333" w:rsidRPr="00FA02A5">
              <w:rPr>
                <w:i/>
                <w:sz w:val="20"/>
                <w:szCs w:val="20"/>
              </w:rPr>
              <w:t>knowledge/skills in civic engagement through</w:t>
            </w:r>
            <w:r w:rsidR="00FA02A5" w:rsidRPr="00FA02A5">
              <w:rPr>
                <w:i/>
                <w:sz w:val="20"/>
                <w:szCs w:val="20"/>
              </w:rPr>
              <w:t xml:space="preserve"> discussions in</w:t>
            </w:r>
            <w:r w:rsidR="00E12333" w:rsidRPr="00FA02A5">
              <w:rPr>
                <w:i/>
                <w:sz w:val="20"/>
                <w:szCs w:val="20"/>
              </w:rPr>
              <w:t xml:space="preserve"> </w:t>
            </w:r>
            <w:r w:rsidR="00FA02A5" w:rsidRPr="00FA02A5">
              <w:rPr>
                <w:i/>
                <w:sz w:val="20"/>
                <w:szCs w:val="20"/>
              </w:rPr>
              <w:t>professional learning communities</w:t>
            </w:r>
            <w:r w:rsidR="0088716A">
              <w:rPr>
                <w:i/>
                <w:sz w:val="20"/>
                <w:szCs w:val="20"/>
              </w:rPr>
              <w:t xml:space="preserve"> (PLC)</w:t>
            </w:r>
            <w:r w:rsidR="00FA02A5" w:rsidRPr="00FA02A5">
              <w:rPr>
                <w:i/>
                <w:sz w:val="20"/>
                <w:szCs w:val="20"/>
              </w:rPr>
              <w:t>, Scholars at Work</w:t>
            </w:r>
            <w:r w:rsidR="0088716A">
              <w:rPr>
                <w:i/>
                <w:sz w:val="20"/>
                <w:szCs w:val="20"/>
              </w:rPr>
              <w:t xml:space="preserve"> (SAW)</w:t>
            </w:r>
            <w:r w:rsidR="00FA02A5" w:rsidRPr="00FA02A5">
              <w:rPr>
                <w:i/>
                <w:sz w:val="20"/>
                <w:szCs w:val="20"/>
              </w:rPr>
              <w:t xml:space="preserve"> seminars, and book discussion groups.</w:t>
            </w:r>
          </w:p>
        </w:tc>
        <w:tc>
          <w:tcPr>
            <w:tcW w:w="2070" w:type="dxa"/>
          </w:tcPr>
          <w:p w14:paraId="3414A0AE" w14:textId="77777777" w:rsidR="00FA02A5" w:rsidRDefault="00FA02A5" w:rsidP="00FA02A5">
            <w:pPr>
              <w:rPr>
                <w:i/>
                <w:sz w:val="20"/>
                <w:szCs w:val="20"/>
              </w:rPr>
            </w:pPr>
            <w:r>
              <w:rPr>
                <w:i/>
                <w:sz w:val="20"/>
                <w:szCs w:val="20"/>
              </w:rPr>
              <w:t>Participant surveys</w:t>
            </w:r>
          </w:p>
          <w:p w14:paraId="1665026A" w14:textId="77777777" w:rsidR="00FA02A5" w:rsidRDefault="00FA02A5" w:rsidP="00FA02A5">
            <w:pPr>
              <w:rPr>
                <w:i/>
                <w:sz w:val="20"/>
                <w:szCs w:val="20"/>
              </w:rPr>
            </w:pPr>
          </w:p>
          <w:p w14:paraId="3975015C" w14:textId="741F3A50" w:rsidR="00E12333" w:rsidRPr="00407DD3" w:rsidRDefault="00FA02A5" w:rsidP="00407DD3">
            <w:pPr>
              <w:rPr>
                <w:i/>
                <w:sz w:val="20"/>
                <w:szCs w:val="20"/>
              </w:rPr>
            </w:pPr>
            <w:r>
              <w:rPr>
                <w:i/>
                <w:sz w:val="20"/>
                <w:szCs w:val="20"/>
              </w:rPr>
              <w:t>Observations of participant discussions</w:t>
            </w:r>
          </w:p>
        </w:tc>
        <w:tc>
          <w:tcPr>
            <w:tcW w:w="3632" w:type="dxa"/>
          </w:tcPr>
          <w:p w14:paraId="519B7953" w14:textId="7C1E5B5B" w:rsidR="00A7207E" w:rsidRDefault="00361667" w:rsidP="00F537F1">
            <w:pPr>
              <w:tabs>
                <w:tab w:val="left" w:pos="0"/>
              </w:tabs>
              <w:rPr>
                <w:i/>
                <w:sz w:val="20"/>
                <w:szCs w:val="20"/>
              </w:rPr>
            </w:pPr>
            <w:r>
              <w:rPr>
                <w:i/>
                <w:sz w:val="20"/>
                <w:szCs w:val="20"/>
              </w:rPr>
              <w:t xml:space="preserve">At least </w:t>
            </w:r>
            <w:r w:rsidR="00FA02A5">
              <w:rPr>
                <w:i/>
                <w:sz w:val="20"/>
                <w:szCs w:val="20"/>
              </w:rPr>
              <w:t>15</w:t>
            </w:r>
            <w:r>
              <w:rPr>
                <w:i/>
                <w:sz w:val="20"/>
                <w:szCs w:val="20"/>
              </w:rPr>
              <w:t xml:space="preserve"> </w:t>
            </w:r>
            <w:r w:rsidR="00FA02A5">
              <w:rPr>
                <w:i/>
                <w:sz w:val="20"/>
                <w:szCs w:val="20"/>
              </w:rPr>
              <w:t>faculty and staff</w:t>
            </w:r>
            <w:r w:rsidRPr="00361667">
              <w:rPr>
                <w:i/>
                <w:sz w:val="20"/>
                <w:szCs w:val="20"/>
              </w:rPr>
              <w:t xml:space="preserve"> will participate in at least one </w:t>
            </w:r>
            <w:r w:rsidR="00FA02A5">
              <w:rPr>
                <w:i/>
                <w:sz w:val="20"/>
                <w:szCs w:val="20"/>
              </w:rPr>
              <w:t>event</w:t>
            </w:r>
            <w:r w:rsidRPr="00361667">
              <w:rPr>
                <w:i/>
                <w:sz w:val="20"/>
                <w:szCs w:val="20"/>
              </w:rPr>
              <w:t xml:space="preserve"> each semester focused </w:t>
            </w:r>
            <w:r w:rsidR="00FA02A5">
              <w:rPr>
                <w:i/>
                <w:sz w:val="20"/>
                <w:szCs w:val="20"/>
              </w:rPr>
              <w:t>civic engagement</w:t>
            </w:r>
          </w:p>
          <w:p w14:paraId="58C20714" w14:textId="33A3999C" w:rsidR="00FA02A5" w:rsidRPr="00A7207E" w:rsidRDefault="00FA02A5" w:rsidP="00F537F1">
            <w:pPr>
              <w:tabs>
                <w:tab w:val="left" w:pos="0"/>
              </w:tabs>
              <w:rPr>
                <w:sz w:val="20"/>
                <w:szCs w:val="20"/>
              </w:rPr>
            </w:pPr>
          </w:p>
        </w:tc>
        <w:tc>
          <w:tcPr>
            <w:tcW w:w="1604" w:type="dxa"/>
          </w:tcPr>
          <w:p w14:paraId="2696703F" w14:textId="1C4B9341" w:rsidR="00FE20C4" w:rsidRPr="00361667" w:rsidRDefault="00FE20C4" w:rsidP="00F537F1">
            <w:pPr>
              <w:tabs>
                <w:tab w:val="left" w:pos="0"/>
              </w:tabs>
              <w:rPr>
                <w:i/>
                <w:sz w:val="20"/>
                <w:szCs w:val="20"/>
              </w:rPr>
            </w:pPr>
          </w:p>
        </w:tc>
        <w:tc>
          <w:tcPr>
            <w:tcW w:w="1627" w:type="dxa"/>
          </w:tcPr>
          <w:p w14:paraId="745CDC87" w14:textId="41F737B0" w:rsidR="00A7207E" w:rsidRPr="00361667" w:rsidRDefault="00A7207E" w:rsidP="00FE2671">
            <w:pPr>
              <w:rPr>
                <w:i/>
                <w:sz w:val="20"/>
                <w:szCs w:val="20"/>
              </w:rPr>
            </w:pPr>
          </w:p>
        </w:tc>
      </w:tr>
    </w:tbl>
    <w:p w14:paraId="434DE9C2" w14:textId="703F8561" w:rsidR="0088716A" w:rsidRPr="00F86985" w:rsidRDefault="00473E8E" w:rsidP="00F86985">
      <w:pPr>
        <w:pStyle w:val="PlainText"/>
        <w:tabs>
          <w:tab w:val="left" w:pos="360"/>
        </w:tabs>
        <w:ind w:left="-900"/>
        <w:rPr>
          <w:rFonts w:ascii="Times New Roman" w:hAnsi="Times New Roman" w:cs="Times New Roman"/>
          <w:i/>
          <w:iCs/>
          <w:sz w:val="22"/>
          <w:szCs w:val="22"/>
        </w:rPr>
        <w:sectPr w:rsidR="0088716A" w:rsidRPr="00F86985" w:rsidSect="005716A6">
          <w:pgSz w:w="15840" w:h="12240" w:orient="landscape"/>
          <w:pgMar w:top="1440" w:right="1440" w:bottom="1440" w:left="1440" w:header="720" w:footer="720" w:gutter="0"/>
          <w:cols w:space="720"/>
          <w:docGrid w:linePitch="360"/>
        </w:sectPr>
      </w:pPr>
      <w:r>
        <w:rPr>
          <w:rFonts w:ascii="Times New Roman" w:hAnsi="Times New Roman" w:cs="Times New Roman"/>
          <w:i/>
          <w:iCs/>
          <w:sz w:val="22"/>
          <w:szCs w:val="22"/>
        </w:rPr>
        <w:t xml:space="preserve"> </w:t>
      </w:r>
    </w:p>
    <w:p w14:paraId="6E0E0F63" w14:textId="0966AED5" w:rsidR="00A71BE0" w:rsidRPr="00A71BE0" w:rsidRDefault="00A71BE0" w:rsidP="001B529F">
      <w:pPr>
        <w:pStyle w:val="PlainText"/>
        <w:tabs>
          <w:tab w:val="left" w:pos="360"/>
        </w:tabs>
        <w:rPr>
          <w:rFonts w:ascii="Times New Roman" w:hAnsi="Times New Roman" w:cs="Times New Roman"/>
          <w:sz w:val="24"/>
          <w:szCs w:val="24"/>
        </w:rPr>
      </w:pPr>
    </w:p>
    <w:p w14:paraId="08CAEB0F" w14:textId="2D5BEBC6" w:rsidR="00015CE2" w:rsidRDefault="00015CE2" w:rsidP="00586F2B">
      <w:pPr>
        <w:pStyle w:val="Heading2"/>
      </w:pPr>
      <w:r>
        <w:t>Assessment Findings/Results</w:t>
      </w:r>
      <w:r w:rsidR="00586F2B">
        <w:t xml:space="preserve"> &amp; Improvements Based on Results</w:t>
      </w:r>
    </w:p>
    <w:p w14:paraId="37861CEE" w14:textId="4E8E4D3E" w:rsidR="00015CE2" w:rsidRDefault="00015CE2" w:rsidP="00015CE2">
      <w:pPr>
        <w:pStyle w:val="PlainText"/>
        <w:tabs>
          <w:tab w:val="left" w:pos="540"/>
        </w:tabs>
        <w:rPr>
          <w:rFonts w:ascii="Times New Roman" w:hAnsi="Times New Roman" w:cs="Times New Roman"/>
          <w:sz w:val="24"/>
          <w:szCs w:val="24"/>
        </w:rPr>
      </w:pPr>
    </w:p>
    <w:p w14:paraId="04EBC8FE" w14:textId="0319855A" w:rsidR="00015CE2" w:rsidRPr="00586F2B" w:rsidRDefault="00015CE2" w:rsidP="00DD1570">
      <w:pPr>
        <w:pStyle w:val="Heading3"/>
      </w:pPr>
      <w:r w:rsidRPr="00586F2B">
        <w:t>SLO #1: Improve participation rates in CETL programs related to teaching and learning.</w:t>
      </w:r>
    </w:p>
    <w:p w14:paraId="4F982051" w14:textId="1106F34B" w:rsidR="00015CE2" w:rsidRDefault="00015CE2" w:rsidP="00015CE2">
      <w:pPr>
        <w:ind w:left="162" w:hanging="162"/>
        <w:rPr>
          <w:i/>
          <w:sz w:val="20"/>
          <w:szCs w:val="20"/>
        </w:rPr>
      </w:pPr>
      <w:r>
        <w:rPr>
          <w:i/>
          <w:sz w:val="20"/>
          <w:szCs w:val="20"/>
        </w:rPr>
        <w:t>Assessment Method: Program registrations, Program attendance logs</w:t>
      </w:r>
    </w:p>
    <w:p w14:paraId="2CB37DAA" w14:textId="3EC412FF" w:rsidR="00015CE2" w:rsidRDefault="00015CE2" w:rsidP="00015CE2">
      <w:pPr>
        <w:tabs>
          <w:tab w:val="left" w:pos="0"/>
        </w:tabs>
        <w:rPr>
          <w:b/>
          <w:sz w:val="20"/>
          <w:szCs w:val="20"/>
        </w:rPr>
      </w:pPr>
    </w:p>
    <w:p w14:paraId="144F281F" w14:textId="4ED5BC22" w:rsidR="00015CE2" w:rsidRPr="00143C63" w:rsidRDefault="00015CE2" w:rsidP="00143C63">
      <w:r w:rsidRPr="00586F2B">
        <w:t>AY 2017-18 participation</w:t>
      </w:r>
      <w:r w:rsidR="00586F2B" w:rsidRPr="00586F2B">
        <w:t xml:space="preserve">: </w:t>
      </w:r>
      <w:r w:rsidR="00143C63">
        <w:rPr>
          <w:sz w:val="20"/>
          <w:szCs w:val="20"/>
        </w:rPr>
        <w:t>216</w:t>
      </w:r>
      <w:r w:rsidR="002C063D">
        <w:rPr>
          <w:sz w:val="20"/>
          <w:szCs w:val="20"/>
        </w:rPr>
        <w:t xml:space="preserve"> </w:t>
      </w:r>
      <w:r w:rsidRPr="00586F2B">
        <w:rPr>
          <w:sz w:val="20"/>
          <w:szCs w:val="20"/>
        </w:rPr>
        <w:t>total participations</w:t>
      </w:r>
    </w:p>
    <w:p w14:paraId="6441D1DC" w14:textId="77777777" w:rsidR="000819BC" w:rsidRDefault="00586F2B" w:rsidP="000819BC">
      <w:pPr>
        <w:pStyle w:val="ListParagraph"/>
        <w:numPr>
          <w:ilvl w:val="0"/>
          <w:numId w:val="2"/>
        </w:numPr>
      </w:pPr>
      <w:r w:rsidRPr="00DD1570">
        <w:t xml:space="preserve">2017-18: </w:t>
      </w:r>
      <w:r w:rsidR="00015CE2" w:rsidRPr="00DD1570">
        <w:t>Implemented the RSchoolToday program for managing event registrations.</w:t>
      </w:r>
    </w:p>
    <w:p w14:paraId="4C2AA5AA" w14:textId="44A8EB05" w:rsidR="00015CE2" w:rsidRPr="00DD1570" w:rsidRDefault="000819BC" w:rsidP="000819BC">
      <w:pPr>
        <w:pStyle w:val="ListParagraph"/>
        <w:numPr>
          <w:ilvl w:val="0"/>
          <w:numId w:val="2"/>
        </w:numPr>
      </w:pPr>
      <w:r>
        <w:t>2018-19: Without administrative support, a</w:t>
      </w:r>
      <w:r w:rsidR="00015CE2" w:rsidRPr="00DD1570">
        <w:t xml:space="preserve">ttendance tracking was inconsistent. </w:t>
      </w:r>
    </w:p>
    <w:p w14:paraId="420655A7" w14:textId="63839F51" w:rsidR="00015CE2" w:rsidRDefault="000819BC" w:rsidP="00BA1623">
      <w:pPr>
        <w:pStyle w:val="ListParagraph"/>
        <w:numPr>
          <w:ilvl w:val="0"/>
          <w:numId w:val="2"/>
        </w:numPr>
      </w:pPr>
      <w:r>
        <w:t>2019-20 Goal</w:t>
      </w:r>
      <w:r w:rsidR="00015CE2" w:rsidRPr="00DD1570">
        <w:t xml:space="preserve">: Remind </w:t>
      </w:r>
      <w:r w:rsidR="00015CE2">
        <w:t xml:space="preserve">facilitators to record and report attendance regularly. </w:t>
      </w:r>
    </w:p>
    <w:p w14:paraId="7AF20AEB" w14:textId="13B09BC0" w:rsidR="000819BC" w:rsidRDefault="000819BC" w:rsidP="000819BC"/>
    <w:p w14:paraId="224B7BAB" w14:textId="77777777" w:rsidR="000819BC" w:rsidRDefault="000819BC" w:rsidP="000819BC">
      <w:pPr>
        <w:pStyle w:val="ListParagraph"/>
        <w:numPr>
          <w:ilvl w:val="0"/>
          <w:numId w:val="3"/>
        </w:numPr>
        <w:ind w:left="360"/>
      </w:pPr>
      <w:r>
        <w:t>Event scheduling methods</w:t>
      </w:r>
    </w:p>
    <w:p w14:paraId="44D424C4" w14:textId="77777777" w:rsidR="000819BC" w:rsidRPr="00DD1570" w:rsidRDefault="000819BC" w:rsidP="000819BC">
      <w:pPr>
        <w:pStyle w:val="ListParagraph"/>
        <w:numPr>
          <w:ilvl w:val="0"/>
          <w:numId w:val="3"/>
        </w:numPr>
      </w:pPr>
      <w:r w:rsidRPr="00DD1570">
        <w:t>2017</w:t>
      </w:r>
      <w:r>
        <w:t>-18</w:t>
      </w:r>
      <w:r w:rsidRPr="00DD1570">
        <w:t>: Poll participants to schedule events.</w:t>
      </w:r>
      <w:r>
        <w:t xml:space="preserve"> </w:t>
      </w:r>
      <w:r w:rsidRPr="00DD1570">
        <w:t>Polling participants yielded no greater participation/attendance than setting dates in advance.</w:t>
      </w:r>
    </w:p>
    <w:p w14:paraId="19933E49" w14:textId="77777777" w:rsidR="000819BC" w:rsidRDefault="000819BC" w:rsidP="000819BC">
      <w:pPr>
        <w:pStyle w:val="ListParagraph"/>
        <w:numPr>
          <w:ilvl w:val="1"/>
          <w:numId w:val="21"/>
        </w:numPr>
      </w:pPr>
      <w:r w:rsidRPr="00DD1570">
        <w:t>2018</w:t>
      </w:r>
      <w:r>
        <w:t>-19</w:t>
      </w:r>
      <w:r w:rsidRPr="00DD1570">
        <w:t>: Schedule</w:t>
      </w:r>
      <w:r>
        <w:t>s</w:t>
      </w:r>
      <w:r w:rsidRPr="00DD1570">
        <w:t xml:space="preserve"> dates for recurring events on Fridays to accommodate the greatest flexibility in faculty schedules.</w:t>
      </w:r>
    </w:p>
    <w:p w14:paraId="7953E37F" w14:textId="220B3D77" w:rsidR="000819BC" w:rsidRDefault="000819BC" w:rsidP="000819BC">
      <w:pPr>
        <w:pStyle w:val="ListParagraph"/>
        <w:numPr>
          <w:ilvl w:val="1"/>
          <w:numId w:val="21"/>
        </w:numPr>
      </w:pPr>
      <w:r>
        <w:t>Goal: Continue scheduling in advance. Experiment with Monday-Thursday mornings (8:30 – 10:00 am) and afternoons (3:00 – 4:30) events to work around “prime time” for teaching.</w:t>
      </w:r>
    </w:p>
    <w:p w14:paraId="41D7DA6E" w14:textId="77777777" w:rsidR="00015CE2" w:rsidRDefault="00015CE2" w:rsidP="00586F2B"/>
    <w:p w14:paraId="292C022E" w14:textId="185C5C14" w:rsidR="00015CE2" w:rsidRPr="00DD1570" w:rsidRDefault="00015CE2" w:rsidP="00DD1570">
      <w:pPr>
        <w:pStyle w:val="Heading3"/>
      </w:pPr>
      <w:r w:rsidRPr="00DD1570">
        <w:t xml:space="preserve">SLO #2: Improve faculty teaching, course design, and student learning experiences.  </w:t>
      </w:r>
    </w:p>
    <w:p w14:paraId="06292EFC" w14:textId="209E31CF" w:rsidR="00015CE2" w:rsidRDefault="00015CE2" w:rsidP="00015CE2">
      <w:pPr>
        <w:ind w:left="162" w:hanging="162"/>
        <w:rPr>
          <w:i/>
          <w:sz w:val="20"/>
          <w:szCs w:val="20"/>
        </w:rPr>
      </w:pPr>
      <w:r>
        <w:rPr>
          <w:i/>
          <w:sz w:val="20"/>
          <w:szCs w:val="20"/>
        </w:rPr>
        <w:t>Assessment Method: Stakeholder interviews, Participant surveys</w:t>
      </w:r>
    </w:p>
    <w:p w14:paraId="5CC50469" w14:textId="2875E4EB" w:rsidR="00015CE2" w:rsidRDefault="00015CE2" w:rsidP="001039C7">
      <w:pPr>
        <w:tabs>
          <w:tab w:val="left" w:pos="0"/>
        </w:tabs>
        <w:rPr>
          <w:i/>
          <w:sz w:val="20"/>
          <w:szCs w:val="20"/>
        </w:rPr>
      </w:pPr>
    </w:p>
    <w:p w14:paraId="25EB4459" w14:textId="77777777" w:rsidR="000315DE" w:rsidRDefault="000315DE" w:rsidP="00BA1623">
      <w:pPr>
        <w:pStyle w:val="ListParagraph"/>
        <w:numPr>
          <w:ilvl w:val="0"/>
          <w:numId w:val="3"/>
        </w:numPr>
        <w:ind w:left="360"/>
      </w:pPr>
      <w:r>
        <w:t>Podcast series</w:t>
      </w:r>
    </w:p>
    <w:p w14:paraId="304A8E21" w14:textId="7D80336F" w:rsidR="00DD1570" w:rsidRDefault="00DD1570" w:rsidP="000315DE">
      <w:pPr>
        <w:pStyle w:val="ListParagraph"/>
        <w:numPr>
          <w:ilvl w:val="0"/>
          <w:numId w:val="3"/>
        </w:numPr>
      </w:pPr>
      <w:r>
        <w:t>2017-18: Developed p</w:t>
      </w:r>
      <w:r w:rsidR="00015CE2">
        <w:t xml:space="preserve">odcast </w:t>
      </w:r>
      <w:r>
        <w:t>mini</w:t>
      </w:r>
      <w:r w:rsidR="00015CE2">
        <w:t>series</w:t>
      </w:r>
      <w:r w:rsidR="000315DE">
        <w:t xml:space="preserve"> with Michael Manderfeld.</w:t>
      </w:r>
    </w:p>
    <w:p w14:paraId="1F7AF83C" w14:textId="00F28C1E" w:rsidR="00DD1570" w:rsidRDefault="00DD1570" w:rsidP="00BA1623">
      <w:pPr>
        <w:pStyle w:val="ListParagraph"/>
        <w:numPr>
          <w:ilvl w:val="1"/>
          <w:numId w:val="18"/>
        </w:numPr>
      </w:pPr>
      <w:r>
        <w:t xml:space="preserve">2018-19: </w:t>
      </w:r>
      <w:r w:rsidR="000315DE">
        <w:t>We were unable to coordinate schedules to continue the podcast series.</w:t>
      </w:r>
    </w:p>
    <w:p w14:paraId="532022FB" w14:textId="77777777" w:rsidR="00015CE2" w:rsidRDefault="00015CE2" w:rsidP="001039C7"/>
    <w:p w14:paraId="412ACF34" w14:textId="2441D12E" w:rsidR="000315DE" w:rsidRDefault="000315DE" w:rsidP="00BA1623">
      <w:pPr>
        <w:pStyle w:val="ListParagraph"/>
        <w:numPr>
          <w:ilvl w:val="0"/>
          <w:numId w:val="3"/>
        </w:numPr>
        <w:ind w:left="360"/>
      </w:pPr>
      <w:r>
        <w:t>Continuing preparation emails to CETL email list</w:t>
      </w:r>
    </w:p>
    <w:p w14:paraId="0A7C3B76" w14:textId="73F60BAD" w:rsidR="00DD1570" w:rsidRPr="00DD1570" w:rsidRDefault="00DD1570" w:rsidP="000315DE">
      <w:pPr>
        <w:pStyle w:val="ListParagraph"/>
        <w:numPr>
          <w:ilvl w:val="0"/>
          <w:numId w:val="3"/>
        </w:numPr>
      </w:pPr>
      <w:r w:rsidRPr="00DD1570">
        <w:t>2017-18: Wrote w</w:t>
      </w:r>
      <w:r w:rsidR="00015CE2" w:rsidRPr="00DD1570">
        <w:t xml:space="preserve">eekly </w:t>
      </w:r>
      <w:r w:rsidRPr="00DD1570">
        <w:t>promotional email with teaching &amp; learning</w:t>
      </w:r>
      <w:r w:rsidR="00015CE2" w:rsidRPr="00DD1570">
        <w:t xml:space="preserve"> tips</w:t>
      </w:r>
      <w:r w:rsidRPr="00DD1570">
        <w:t xml:space="preserve">. </w:t>
      </w:r>
    </w:p>
    <w:p w14:paraId="12EAEBED" w14:textId="0C02881D" w:rsidR="00015CE2" w:rsidRDefault="00DD1570" w:rsidP="00BA1623">
      <w:pPr>
        <w:pStyle w:val="ListParagraph"/>
        <w:numPr>
          <w:ilvl w:val="0"/>
          <w:numId w:val="19"/>
        </w:numPr>
        <w:rPr>
          <w:sz w:val="20"/>
          <w:szCs w:val="20"/>
        </w:rPr>
      </w:pPr>
      <w:r w:rsidRPr="00DD1570">
        <w:rPr>
          <w:sz w:val="20"/>
          <w:szCs w:val="20"/>
        </w:rPr>
        <w:t>2018-19: Continue</w:t>
      </w:r>
      <w:r w:rsidR="000315DE">
        <w:rPr>
          <w:sz w:val="20"/>
          <w:szCs w:val="20"/>
        </w:rPr>
        <w:t>d</w:t>
      </w:r>
      <w:r w:rsidRPr="00DD1570">
        <w:rPr>
          <w:sz w:val="20"/>
          <w:szCs w:val="20"/>
        </w:rPr>
        <w:t xml:space="preserve"> teaching tips/promotional emails monthly.</w:t>
      </w:r>
    </w:p>
    <w:p w14:paraId="582C6F11" w14:textId="218FC026" w:rsidR="000819BC" w:rsidRPr="00DD1570" w:rsidRDefault="000819BC" w:rsidP="00BA1623">
      <w:pPr>
        <w:pStyle w:val="ListParagraph"/>
        <w:numPr>
          <w:ilvl w:val="0"/>
          <w:numId w:val="19"/>
        </w:numPr>
        <w:rPr>
          <w:sz w:val="20"/>
          <w:szCs w:val="20"/>
        </w:rPr>
      </w:pPr>
      <w:r>
        <w:rPr>
          <w:sz w:val="20"/>
          <w:szCs w:val="20"/>
        </w:rPr>
        <w:t xml:space="preserve">2019-20 Goal: Continue monthly emails. </w:t>
      </w:r>
    </w:p>
    <w:p w14:paraId="5969966C" w14:textId="77777777" w:rsidR="00015CE2" w:rsidRDefault="00015CE2" w:rsidP="001039C7"/>
    <w:p w14:paraId="5CC67824" w14:textId="019B2282" w:rsidR="000315DE" w:rsidRDefault="000315DE" w:rsidP="00BA1623">
      <w:pPr>
        <w:pStyle w:val="ListParagraph"/>
        <w:numPr>
          <w:ilvl w:val="0"/>
          <w:numId w:val="3"/>
        </w:numPr>
        <w:ind w:left="360"/>
      </w:pPr>
      <w:r>
        <w:t>New Faculty Orientation</w:t>
      </w:r>
    </w:p>
    <w:p w14:paraId="38D8FBAE" w14:textId="3B90CED6" w:rsidR="00DD1570" w:rsidRDefault="000315DE" w:rsidP="000315DE">
      <w:pPr>
        <w:pStyle w:val="ListParagraph"/>
        <w:numPr>
          <w:ilvl w:val="0"/>
          <w:numId w:val="3"/>
        </w:numPr>
      </w:pPr>
      <w:r>
        <w:t xml:space="preserve">2017-18: </w:t>
      </w:r>
      <w:r w:rsidR="00015CE2" w:rsidRPr="00DD1570">
        <w:t>New Faculty Orientation</w:t>
      </w:r>
      <w:r w:rsidR="00DD1570" w:rsidRPr="00DD1570">
        <w:t xml:space="preserve"> </w:t>
      </w:r>
      <w:r>
        <w:t>became</w:t>
      </w:r>
      <w:r w:rsidR="00482DC3">
        <w:t xml:space="preserve"> a</w:t>
      </w:r>
      <w:r w:rsidR="00DD1570" w:rsidRPr="00DD1570">
        <w:t xml:space="preserve"> </w:t>
      </w:r>
      <w:r w:rsidR="000819BC">
        <w:t xml:space="preserve">one-day </w:t>
      </w:r>
      <w:r w:rsidR="00DD1570" w:rsidRPr="00DD1570">
        <w:t xml:space="preserve">course design workshop designed to help faculty prepare for their first day in the classroom. </w:t>
      </w:r>
    </w:p>
    <w:p w14:paraId="42BC9755" w14:textId="3D5BA8A1" w:rsidR="00015CE2" w:rsidRDefault="000315DE" w:rsidP="00BA1623">
      <w:pPr>
        <w:pStyle w:val="ListParagraph"/>
        <w:numPr>
          <w:ilvl w:val="1"/>
          <w:numId w:val="20"/>
        </w:numPr>
      </w:pPr>
      <w:r w:rsidRPr="00DD1570">
        <w:t>201</w:t>
      </w:r>
      <w:r>
        <w:t>8</w:t>
      </w:r>
      <w:r w:rsidRPr="00DD1570">
        <w:t>-1</w:t>
      </w:r>
      <w:r>
        <w:t>9 e</w:t>
      </w:r>
      <w:r w:rsidR="009F0450">
        <w:t xml:space="preserve">vent feedback: </w:t>
      </w:r>
      <w:r w:rsidR="00015CE2" w:rsidRPr="00DD1570">
        <w:t>All of the participants who responded to the evaluation request indicated the event met or exceeded their expectations. They enjoyed meeting other new faculty and</w:t>
      </w:r>
      <w:r w:rsidR="00482DC3">
        <w:t xml:space="preserve"> learning about the services available to them through the Center for Excellence and Innovation</w:t>
      </w:r>
      <w:r w:rsidR="00015CE2" w:rsidRPr="00DD1570">
        <w:t xml:space="preserve">. The focus on teaching, particularly the demonstration of basic features to build a course in D2L Brightspace, was useful. </w:t>
      </w:r>
      <w:r w:rsidR="00482DC3">
        <w:t>The shift to Tuesday (based on previous year’s feedback) fit well into the Orientation Week activities.</w:t>
      </w:r>
    </w:p>
    <w:p w14:paraId="00610DDF" w14:textId="0099D2F2" w:rsidR="000819BC" w:rsidRPr="00DD1570" w:rsidRDefault="000819BC" w:rsidP="00BA1623">
      <w:pPr>
        <w:pStyle w:val="ListParagraph"/>
        <w:numPr>
          <w:ilvl w:val="1"/>
          <w:numId w:val="20"/>
        </w:numPr>
      </w:pPr>
      <w:r>
        <w:t>2019-20 Goal: Continue the new model.</w:t>
      </w:r>
    </w:p>
    <w:p w14:paraId="6EBF2A65" w14:textId="77777777" w:rsidR="00DD1570" w:rsidRPr="00DD1570" w:rsidRDefault="00DD1570" w:rsidP="000819BC"/>
    <w:p w14:paraId="4817F13D" w14:textId="380413F7" w:rsidR="000819BC" w:rsidRDefault="000819BC" w:rsidP="00BA1623">
      <w:pPr>
        <w:pStyle w:val="ListParagraph"/>
        <w:numPr>
          <w:ilvl w:val="0"/>
          <w:numId w:val="3"/>
        </w:numPr>
        <w:ind w:left="360"/>
      </w:pPr>
      <w:r w:rsidRPr="00DD1570">
        <w:t>Offer customized professional development for colleges.</w:t>
      </w:r>
    </w:p>
    <w:p w14:paraId="1317FE98" w14:textId="6CE0E7E2" w:rsidR="00DD1570" w:rsidRPr="00DD1570" w:rsidRDefault="00DD1570" w:rsidP="000819BC">
      <w:pPr>
        <w:pStyle w:val="ListParagraph"/>
        <w:numPr>
          <w:ilvl w:val="0"/>
          <w:numId w:val="3"/>
        </w:numPr>
      </w:pPr>
      <w:r w:rsidRPr="00DD1570">
        <w:t>2017</w:t>
      </w:r>
      <w:r>
        <w:t>-18</w:t>
      </w:r>
      <w:r w:rsidRPr="00DD1570">
        <w:t xml:space="preserve">: </w:t>
      </w:r>
      <w:r w:rsidR="000819BC">
        <w:t xml:space="preserve">Build Your Online Course Series for </w:t>
      </w:r>
      <w:r w:rsidRPr="00DD1570">
        <w:t>COB, SBS, Counseling &amp; Student Personnel, Elementary Education, and two open-enrollment groups.</w:t>
      </w:r>
    </w:p>
    <w:p w14:paraId="01F37198" w14:textId="77777777" w:rsidR="000819BC" w:rsidRDefault="00DD1570" w:rsidP="00BA1623">
      <w:pPr>
        <w:pStyle w:val="ListParagraph"/>
        <w:numPr>
          <w:ilvl w:val="1"/>
          <w:numId w:val="22"/>
        </w:numPr>
      </w:pPr>
      <w:r w:rsidRPr="00DD1570">
        <w:lastRenderedPageBreak/>
        <w:t>2018</w:t>
      </w:r>
      <w:r>
        <w:t>-19</w:t>
      </w:r>
      <w:r w:rsidRPr="00DD1570">
        <w:t xml:space="preserve">: </w:t>
      </w:r>
    </w:p>
    <w:p w14:paraId="4DB75DD4" w14:textId="77777777" w:rsidR="000819BC" w:rsidRDefault="000819BC" w:rsidP="000819BC">
      <w:pPr>
        <w:pStyle w:val="ListParagraph"/>
        <w:numPr>
          <w:ilvl w:val="2"/>
          <w:numId w:val="22"/>
        </w:numPr>
        <w:ind w:left="1170"/>
      </w:pPr>
      <w:r>
        <w:t xml:space="preserve">Build Your Online Course Series for COB and SBS. </w:t>
      </w:r>
    </w:p>
    <w:p w14:paraId="14CD853C" w14:textId="0E9768E8" w:rsidR="000819BC" w:rsidRDefault="000819BC" w:rsidP="000819BC">
      <w:pPr>
        <w:pStyle w:val="ListParagraph"/>
        <w:numPr>
          <w:ilvl w:val="2"/>
          <w:numId w:val="22"/>
        </w:numPr>
        <w:ind w:left="1170"/>
      </w:pPr>
      <w:r>
        <w:t xml:space="preserve">Differentiating 400/500 Level Courses online asynchronous course designed for SBS, then opened to all faculty. </w:t>
      </w:r>
    </w:p>
    <w:p w14:paraId="61A04C6B" w14:textId="2164F9EB" w:rsidR="000819BC" w:rsidRDefault="000819BC" w:rsidP="000819BC">
      <w:pPr>
        <w:pStyle w:val="ListParagraph"/>
        <w:numPr>
          <w:ilvl w:val="2"/>
          <w:numId w:val="22"/>
        </w:numPr>
        <w:ind w:left="1170"/>
      </w:pPr>
      <w:r>
        <w:t xml:space="preserve">Computer Science Project-Based Learning Cohort </w:t>
      </w:r>
    </w:p>
    <w:p w14:paraId="0F2BCF2A" w14:textId="4153FB4E" w:rsidR="00015CE2" w:rsidRPr="00DD1570" w:rsidRDefault="000819BC" w:rsidP="00BA1623">
      <w:pPr>
        <w:pStyle w:val="ListParagraph"/>
        <w:numPr>
          <w:ilvl w:val="1"/>
          <w:numId w:val="22"/>
        </w:numPr>
      </w:pPr>
      <w:r>
        <w:t xml:space="preserve">2019-20 Goal: </w:t>
      </w:r>
      <w:r w:rsidR="00DD1570" w:rsidRPr="00DD1570">
        <w:t>Continue offering customized workshops</w:t>
      </w:r>
      <w:r w:rsidR="00DD1570">
        <w:t xml:space="preserve"> on demand to groups of 5+</w:t>
      </w:r>
      <w:r w:rsidR="00DD1570" w:rsidRPr="00DD1570">
        <w:t xml:space="preserve">. Offer a menu of potential </w:t>
      </w:r>
      <w:r w:rsidR="00DD1570">
        <w:t>workshops to show the range of topics available</w:t>
      </w:r>
      <w:r w:rsidR="00DD1570" w:rsidRPr="00DD1570">
        <w:t>.</w:t>
      </w:r>
    </w:p>
    <w:p w14:paraId="7790ED38" w14:textId="77777777" w:rsidR="00015CE2" w:rsidRPr="00FA02A5" w:rsidRDefault="00015CE2" w:rsidP="00586F2B"/>
    <w:p w14:paraId="443618F1" w14:textId="57F5E6C1" w:rsidR="00015CE2" w:rsidRDefault="00015CE2" w:rsidP="009F0450">
      <w:pPr>
        <w:pStyle w:val="Heading3"/>
      </w:pPr>
      <w:r w:rsidRPr="00015CE2">
        <w:t>SLO #3: Improve faculty satisfaction with CETL programming.</w:t>
      </w:r>
    </w:p>
    <w:p w14:paraId="0FA26F4E" w14:textId="70C0E41D" w:rsidR="00015CE2" w:rsidRDefault="00015CE2" w:rsidP="00015CE2">
      <w:pPr>
        <w:ind w:left="162" w:hanging="162"/>
        <w:rPr>
          <w:i/>
          <w:sz w:val="20"/>
          <w:szCs w:val="20"/>
        </w:rPr>
      </w:pPr>
      <w:r>
        <w:rPr>
          <w:i/>
          <w:sz w:val="20"/>
          <w:szCs w:val="20"/>
        </w:rPr>
        <w:t>Assessment Method: Stakeholder interviews, Participant surveys</w:t>
      </w:r>
    </w:p>
    <w:p w14:paraId="32FC2CF7" w14:textId="0F55C019" w:rsidR="00015CE2" w:rsidRDefault="00015CE2" w:rsidP="00015CE2">
      <w:pPr>
        <w:ind w:left="162" w:hanging="162"/>
        <w:rPr>
          <w:i/>
          <w:sz w:val="20"/>
          <w:szCs w:val="20"/>
        </w:rPr>
      </w:pPr>
    </w:p>
    <w:p w14:paraId="134F99E0" w14:textId="77777777" w:rsidR="00BA4320" w:rsidRDefault="00BA4320" w:rsidP="00BA1623">
      <w:pPr>
        <w:pStyle w:val="ListParagraph"/>
        <w:numPr>
          <w:ilvl w:val="0"/>
          <w:numId w:val="4"/>
        </w:numPr>
        <w:ind w:left="360"/>
      </w:pPr>
      <w:r>
        <w:t>The</w:t>
      </w:r>
      <w:r w:rsidR="00DD1570">
        <w:t xml:space="preserve"> </w:t>
      </w:r>
      <w:r w:rsidR="00015CE2" w:rsidRPr="00015CE2">
        <w:t>Scholars At Work Conference</w:t>
      </w:r>
      <w:r w:rsidR="00DD1570">
        <w:t xml:space="preserve">, a one-day interdisciplinary conference for Minnesota State University faculty, was developed in </w:t>
      </w:r>
      <w:r>
        <w:t xml:space="preserve">2017 in </w:t>
      </w:r>
      <w:r w:rsidR="00DD1570">
        <w:t xml:space="preserve">collaboration with CESR, IT Solutions, and Library Services. </w:t>
      </w:r>
    </w:p>
    <w:p w14:paraId="4177F7FA" w14:textId="319733ED" w:rsidR="009F0450" w:rsidRDefault="000819BC" w:rsidP="00BA4320">
      <w:pPr>
        <w:pStyle w:val="ListParagraph"/>
        <w:numPr>
          <w:ilvl w:val="1"/>
          <w:numId w:val="4"/>
        </w:numPr>
      </w:pPr>
      <w:r>
        <w:t>2018 (</w:t>
      </w:r>
      <w:r w:rsidR="00BA4320">
        <w:t>Year 1</w:t>
      </w:r>
      <w:r>
        <w:t>)</w:t>
      </w:r>
      <w:r w:rsidR="00BA4320">
        <w:t xml:space="preserve">: </w:t>
      </w:r>
      <w:r w:rsidR="00015CE2" w:rsidRPr="00015CE2">
        <w:t>Participants enjoyed the keynote and meeting new people</w:t>
      </w:r>
      <w:r w:rsidR="00BA4320">
        <w:t>, but t</w:t>
      </w:r>
      <w:r w:rsidR="00015CE2" w:rsidRPr="00015CE2">
        <w:t>hey</w:t>
      </w:r>
      <w:r w:rsidR="00DD1570">
        <w:t xml:space="preserve"> </w:t>
      </w:r>
      <w:r w:rsidR="00015CE2" w:rsidRPr="00015CE2">
        <w:t>would have liked to see more people at the conference, more variety in the presentations, and a</w:t>
      </w:r>
      <w:r w:rsidR="00DD1570">
        <w:t xml:space="preserve"> </w:t>
      </w:r>
      <w:r w:rsidR="00015CE2" w:rsidRPr="00015CE2">
        <w:t>clearer thread among the presentations. Seventy-three percent are somewhat or extremely likely to</w:t>
      </w:r>
      <w:r w:rsidR="00DD1570">
        <w:t xml:space="preserve"> </w:t>
      </w:r>
      <w:r w:rsidR="00015CE2" w:rsidRPr="00015CE2">
        <w:t>attend the event again in 2019.</w:t>
      </w:r>
    </w:p>
    <w:p w14:paraId="5B1F3D5E" w14:textId="66D7438E" w:rsidR="00BA4320" w:rsidRDefault="000819BC" w:rsidP="000819BC">
      <w:pPr>
        <w:pStyle w:val="ListParagraph"/>
        <w:numPr>
          <w:ilvl w:val="0"/>
          <w:numId w:val="16"/>
        </w:numPr>
      </w:pPr>
      <w:r>
        <w:t>2019 (</w:t>
      </w:r>
      <w:r w:rsidR="00BA4320">
        <w:t>Year 2</w:t>
      </w:r>
      <w:r>
        <w:t>)</w:t>
      </w:r>
      <w:r w:rsidR="00BA4320">
        <w:t xml:space="preserve">: Event was moved to the lower level of the library for an informal atmosphere that would encourage drop ins. Attendance doubled to 60 participants. Ninety-five percent were satisfied with the overall experience (65% excellent). </w:t>
      </w:r>
      <w:r w:rsidR="00F41693">
        <w:t>The most common complaint was low attendance/small audiences and the most common suggestion for improvement was advertising the event.</w:t>
      </w:r>
    </w:p>
    <w:p w14:paraId="2A77A8D3" w14:textId="156BD8BF" w:rsidR="000315DE" w:rsidRDefault="000315DE" w:rsidP="000819BC">
      <w:pPr>
        <w:pStyle w:val="ListParagraph"/>
        <w:numPr>
          <w:ilvl w:val="0"/>
          <w:numId w:val="16"/>
        </w:numPr>
      </w:pPr>
      <w:r>
        <w:t>2019-20</w:t>
      </w:r>
      <w:r w:rsidR="000819BC">
        <w:t xml:space="preserve"> Goal</w:t>
      </w:r>
      <w:r>
        <w:t>: Collaborate with Graduate Studies &amp; Research to create a day of faculty excellence by using the Douglas R. Moore lecture as the conference closing keynote.</w:t>
      </w:r>
    </w:p>
    <w:p w14:paraId="07CD598F" w14:textId="77777777" w:rsidR="00F41693" w:rsidRDefault="00F41693" w:rsidP="00F41693">
      <w:pPr>
        <w:ind w:left="1440"/>
        <w:rPr>
          <w:i/>
          <w:iCs/>
        </w:rPr>
      </w:pPr>
    </w:p>
    <w:p w14:paraId="1B385E6A" w14:textId="13E30898" w:rsidR="00F41693" w:rsidRPr="00F41693" w:rsidRDefault="00F41693" w:rsidP="00F41693">
      <w:pPr>
        <w:ind w:left="1440"/>
        <w:rPr>
          <w:i/>
          <w:iCs/>
        </w:rPr>
      </w:pPr>
      <w:r w:rsidRPr="00F41693">
        <w:rPr>
          <w:i/>
          <w:iCs/>
        </w:rPr>
        <w:t xml:space="preserve">I found the opportunity to present what I've been working on to be really exciting. The connections I made at the meeting included questions, ideas, encouragement and offers to collaborate. I liked the initial opening event discussion and wanted very much to stay for additional sessions. </w:t>
      </w:r>
    </w:p>
    <w:p w14:paraId="2733FDF9" w14:textId="77777777" w:rsidR="00F41693" w:rsidRDefault="00F41693" w:rsidP="00F41693">
      <w:pPr>
        <w:ind w:left="1440"/>
        <w:rPr>
          <w:i/>
          <w:iCs/>
        </w:rPr>
      </w:pPr>
    </w:p>
    <w:p w14:paraId="5C8ABC48" w14:textId="6BF1681C" w:rsidR="00F41693" w:rsidRPr="00F41693" w:rsidRDefault="00F41693" w:rsidP="00F41693">
      <w:pPr>
        <w:ind w:left="1440"/>
        <w:rPr>
          <w:i/>
          <w:iCs/>
        </w:rPr>
      </w:pPr>
      <w:r w:rsidRPr="00F41693">
        <w:rPr>
          <w:i/>
          <w:iCs/>
        </w:rPr>
        <w:t>I really enjoyed the variety of presentations that were offered. I like having the conference confined to one side of the library basement. It seemed like there were more opportunities (and time) to encounter and talk with presenters and attendees.</w:t>
      </w:r>
    </w:p>
    <w:p w14:paraId="5853BCDF" w14:textId="77777777" w:rsidR="00F41693" w:rsidRDefault="00F41693" w:rsidP="00F41693">
      <w:pPr>
        <w:ind w:left="1440"/>
        <w:rPr>
          <w:i/>
          <w:iCs/>
        </w:rPr>
      </w:pPr>
    </w:p>
    <w:p w14:paraId="516603B3" w14:textId="1F81931A" w:rsidR="00F41693" w:rsidRDefault="00F41693" w:rsidP="00F41693">
      <w:pPr>
        <w:ind w:left="1440"/>
        <w:rPr>
          <w:i/>
          <w:iCs/>
        </w:rPr>
      </w:pPr>
      <w:r w:rsidRPr="00F41693">
        <w:rPr>
          <w:i/>
          <w:iCs/>
        </w:rPr>
        <w:t>The no-pressure, come-and-go format was great and encouraged me to attend.</w:t>
      </w:r>
    </w:p>
    <w:p w14:paraId="528E6C81" w14:textId="77777777" w:rsidR="00F41693" w:rsidRDefault="00F41693" w:rsidP="00F41693">
      <w:pPr>
        <w:ind w:left="1440"/>
        <w:rPr>
          <w:i/>
          <w:iCs/>
        </w:rPr>
      </w:pPr>
    </w:p>
    <w:p w14:paraId="2E076CFC" w14:textId="148A7589" w:rsidR="009F0450" w:rsidRPr="00F41693" w:rsidRDefault="00F41693" w:rsidP="00F41693">
      <w:pPr>
        <w:ind w:left="1440"/>
        <w:rPr>
          <w:i/>
          <w:iCs/>
        </w:rPr>
      </w:pPr>
      <w:r w:rsidRPr="00F41693">
        <w:rPr>
          <w:i/>
          <w:iCs/>
        </w:rPr>
        <w:t>I like the choice of using one side of the library basement. More unified feeling than in CSU. I think we should think of ways to further boost attendance so that there aren't nearly empty sessions.</w:t>
      </w:r>
    </w:p>
    <w:p w14:paraId="2AA34D3A" w14:textId="60116D35" w:rsidR="009F0450" w:rsidRDefault="009F0450" w:rsidP="001039C7"/>
    <w:p w14:paraId="71ACCA9E" w14:textId="3359FADB" w:rsidR="009F0450" w:rsidRDefault="009F0450" w:rsidP="00BA1623">
      <w:pPr>
        <w:pStyle w:val="ListParagraph"/>
        <w:numPr>
          <w:ilvl w:val="0"/>
          <w:numId w:val="4"/>
        </w:numPr>
        <w:ind w:left="360"/>
      </w:pPr>
      <w:r w:rsidRPr="00015CE2">
        <w:t>Build Your Online Course</w:t>
      </w:r>
      <w:r>
        <w:t xml:space="preserve"> Series </w:t>
      </w:r>
    </w:p>
    <w:p w14:paraId="67B733AE" w14:textId="54E6F880" w:rsidR="00015CE2" w:rsidRDefault="000819BC" w:rsidP="00BA1623">
      <w:pPr>
        <w:pStyle w:val="ListParagraph"/>
        <w:numPr>
          <w:ilvl w:val="0"/>
          <w:numId w:val="17"/>
        </w:numPr>
      </w:pPr>
      <w:r>
        <w:t xml:space="preserve">2018-19 </w:t>
      </w:r>
      <w:r w:rsidR="009F0450">
        <w:t xml:space="preserve">feedback: </w:t>
      </w:r>
      <w:r w:rsidR="000315DE">
        <w:t>At least 80</w:t>
      </w:r>
      <w:r w:rsidR="00015CE2" w:rsidRPr="00015CE2">
        <w:t xml:space="preserve"> percent of participants indicated that the workshops met or</w:t>
      </w:r>
      <w:r w:rsidR="009F0450">
        <w:t xml:space="preserve"> </w:t>
      </w:r>
      <w:r w:rsidR="00015CE2" w:rsidRPr="00015CE2">
        <w:t>exceeded their expectations. They noted the value of examples</w:t>
      </w:r>
      <w:r w:rsidR="000315DE">
        <w:t xml:space="preserve"> of online activities, technologies, and course designs. Unfortunately, the IT Solutions instructional designers </w:t>
      </w:r>
      <w:r w:rsidR="000315DE">
        <w:lastRenderedPageBreak/>
        <w:t xml:space="preserve">and I did not follow through on the previous year’s feedback to create a D2L course or Microsoft Team to store materials supporting the trainings. </w:t>
      </w:r>
    </w:p>
    <w:p w14:paraId="0FB8861D" w14:textId="41C9D852" w:rsidR="009F0450" w:rsidRDefault="000315DE" w:rsidP="00BA1623">
      <w:pPr>
        <w:pStyle w:val="ListParagraph"/>
        <w:numPr>
          <w:ilvl w:val="0"/>
          <w:numId w:val="17"/>
        </w:numPr>
      </w:pPr>
      <w:r>
        <w:t>Goal for 2019-20: Continue promoting the Purple Standard for Online Course Design, online course reviews (peer &amp; SCOT), and the Competencies for Online Teaching.</w:t>
      </w:r>
    </w:p>
    <w:p w14:paraId="730E215D" w14:textId="77777777" w:rsidR="00015CE2" w:rsidRPr="00015CE2" w:rsidRDefault="00015CE2" w:rsidP="009F0450">
      <w:pPr>
        <w:rPr>
          <w:rFonts w:ascii="Times New Roman" w:hAnsi="Times New Roman"/>
          <w:i/>
          <w:sz w:val="20"/>
          <w:szCs w:val="20"/>
        </w:rPr>
      </w:pPr>
    </w:p>
    <w:p w14:paraId="5A0D6759" w14:textId="03EFE7C6" w:rsidR="00015CE2" w:rsidRDefault="009F0450" w:rsidP="009F0450">
      <w:pPr>
        <w:pStyle w:val="Heading3"/>
        <w:rPr>
          <w:rFonts w:ascii="Times New Roman" w:hAnsi="Times New Roman"/>
          <w:sz w:val="24"/>
          <w:szCs w:val="24"/>
        </w:rPr>
      </w:pPr>
      <w:r w:rsidRPr="00FA02A5">
        <w:t>SLO #</w:t>
      </w:r>
      <w:r>
        <w:t>4</w:t>
      </w:r>
      <w:r w:rsidRPr="00FA02A5">
        <w:t>:  Improve faculty and staff knowledge/skills in civic engagement through discussions in professional learning communities</w:t>
      </w:r>
      <w:r>
        <w:t xml:space="preserve"> (PLC)</w:t>
      </w:r>
      <w:r w:rsidR="000315DE">
        <w:t xml:space="preserve"> </w:t>
      </w:r>
      <w:r w:rsidRPr="00FA02A5">
        <w:t>and book discussion groups.</w:t>
      </w:r>
    </w:p>
    <w:p w14:paraId="36F389E8" w14:textId="1D44183F" w:rsidR="009F0450" w:rsidRPr="009F0450" w:rsidRDefault="009F0450" w:rsidP="009F0450">
      <w:pPr>
        <w:rPr>
          <w:i/>
          <w:sz w:val="20"/>
          <w:szCs w:val="20"/>
        </w:rPr>
      </w:pPr>
      <w:r w:rsidRPr="009F0450">
        <w:rPr>
          <w:i/>
        </w:rPr>
        <w:t xml:space="preserve">Assessment methods: </w:t>
      </w:r>
      <w:r w:rsidR="00F41693">
        <w:rPr>
          <w:i/>
          <w:sz w:val="20"/>
          <w:szCs w:val="20"/>
        </w:rPr>
        <w:t>O</w:t>
      </w:r>
      <w:r w:rsidRPr="009F0450">
        <w:rPr>
          <w:i/>
          <w:sz w:val="20"/>
          <w:szCs w:val="20"/>
        </w:rPr>
        <w:t>bservations of participant discussions</w:t>
      </w:r>
      <w:r>
        <w:rPr>
          <w:i/>
          <w:sz w:val="20"/>
          <w:szCs w:val="20"/>
        </w:rPr>
        <w:t xml:space="preserve">, </w:t>
      </w:r>
      <w:r w:rsidR="00F41693">
        <w:rPr>
          <w:i/>
          <w:sz w:val="20"/>
          <w:szCs w:val="20"/>
        </w:rPr>
        <w:t>feedback</w:t>
      </w:r>
      <w:r w:rsidRPr="009F0450">
        <w:rPr>
          <w:i/>
          <w:sz w:val="20"/>
          <w:szCs w:val="20"/>
        </w:rPr>
        <w:t xml:space="preserve"> by participants </w:t>
      </w:r>
    </w:p>
    <w:p w14:paraId="5BD69ACB" w14:textId="1A5CE581" w:rsidR="00015CE2" w:rsidRDefault="00015CE2" w:rsidP="00015CE2">
      <w:pPr>
        <w:pStyle w:val="PlainText"/>
        <w:tabs>
          <w:tab w:val="left" w:pos="540"/>
        </w:tabs>
        <w:rPr>
          <w:rFonts w:ascii="Times New Roman" w:hAnsi="Times New Roman" w:cs="Times New Roman"/>
          <w:sz w:val="24"/>
          <w:szCs w:val="24"/>
        </w:rPr>
      </w:pPr>
    </w:p>
    <w:p w14:paraId="4CB0E111" w14:textId="6E6D63C8" w:rsidR="00F86B57" w:rsidRDefault="00A92AD3" w:rsidP="00BA1623">
      <w:pPr>
        <w:pStyle w:val="ListParagraph"/>
        <w:numPr>
          <w:ilvl w:val="0"/>
          <w:numId w:val="15"/>
        </w:numPr>
      </w:pPr>
      <w:r w:rsidRPr="00A92AD3">
        <w:t>Anecdotal information from faculty suggest these groups are thought-provoking and useful.</w:t>
      </w:r>
      <w:r w:rsidR="000819BC">
        <w:t xml:space="preserve"> The PLCs are useful ways to develop their internal professional networks.</w:t>
      </w:r>
    </w:p>
    <w:p w14:paraId="6F99818A" w14:textId="69B533AA" w:rsidR="000819BC" w:rsidRDefault="000819BC" w:rsidP="00BA1623">
      <w:pPr>
        <w:pStyle w:val="ListParagraph"/>
        <w:numPr>
          <w:ilvl w:val="0"/>
          <w:numId w:val="15"/>
        </w:numPr>
      </w:pPr>
      <w:r>
        <w:t>2019-20 Goals: Increase attendance. Formalize feedback.</w:t>
      </w:r>
    </w:p>
    <w:p w14:paraId="2C7136E3" w14:textId="0F8A0929" w:rsidR="004C5706" w:rsidRDefault="009F0450" w:rsidP="009F0450">
      <w:pPr>
        <w:pStyle w:val="Heading1"/>
      </w:pPr>
      <w:r>
        <w:t xml:space="preserve">V. </w:t>
      </w:r>
      <w:r w:rsidR="003B3C54" w:rsidRPr="004C5706">
        <w:t>Expectations and initiatives for upcoming year</w:t>
      </w:r>
      <w:r w:rsidR="004C5706">
        <w:t>:</w:t>
      </w:r>
    </w:p>
    <w:p w14:paraId="0E5367ED" w14:textId="77777777" w:rsidR="00840A41" w:rsidRPr="00A92AD3" w:rsidRDefault="00634E86" w:rsidP="00A92AD3">
      <w:pPr>
        <w:rPr>
          <w:i/>
        </w:rPr>
      </w:pPr>
      <w:r w:rsidRPr="00A92AD3">
        <w:rPr>
          <w:i/>
        </w:rPr>
        <w:t>List the goals you have for y</w:t>
      </w:r>
      <w:r w:rsidR="004C5706" w:rsidRPr="00A92AD3">
        <w:rPr>
          <w:i/>
        </w:rPr>
        <w:t>our unit for the following year (l</w:t>
      </w:r>
      <w:r w:rsidRPr="00A92AD3">
        <w:rPr>
          <w:i/>
        </w:rPr>
        <w:t xml:space="preserve">ist goals with </w:t>
      </w:r>
      <w:r w:rsidR="00F7672D" w:rsidRPr="00A92AD3">
        <w:rPr>
          <w:i/>
        </w:rPr>
        <w:t>a brief</w:t>
      </w:r>
      <w:r w:rsidRPr="00A92AD3">
        <w:rPr>
          <w:i/>
        </w:rPr>
        <w:t xml:space="preserve"> description</w:t>
      </w:r>
      <w:r w:rsidR="004C5706" w:rsidRPr="00A92AD3">
        <w:rPr>
          <w:i/>
        </w:rPr>
        <w:t>)</w:t>
      </w:r>
      <w:r w:rsidRPr="00A92AD3">
        <w:rPr>
          <w:i/>
        </w:rPr>
        <w:t>.</w:t>
      </w:r>
    </w:p>
    <w:p w14:paraId="6F7345A0" w14:textId="77777777" w:rsidR="00F278B7" w:rsidRDefault="00F278B7" w:rsidP="00A92AD3">
      <w:pPr>
        <w:rPr>
          <w:sz w:val="22"/>
          <w:szCs w:val="22"/>
        </w:rPr>
      </w:pPr>
    </w:p>
    <w:p w14:paraId="1ACBBC6D" w14:textId="77777777" w:rsidR="00A676A5" w:rsidRDefault="00A676A5" w:rsidP="00A92AD3">
      <w:pPr>
        <w:rPr>
          <w:sz w:val="22"/>
          <w:szCs w:val="22"/>
        </w:rPr>
      </w:pPr>
      <w:r>
        <w:rPr>
          <w:sz w:val="22"/>
          <w:szCs w:val="22"/>
        </w:rPr>
        <w:t xml:space="preserve">Continue offering faculty development on-demand. </w:t>
      </w:r>
    </w:p>
    <w:p w14:paraId="7C41653C" w14:textId="3D5B10C2" w:rsidR="00A676A5" w:rsidRPr="00A676A5" w:rsidRDefault="00A676A5" w:rsidP="00BA1623">
      <w:pPr>
        <w:pStyle w:val="ListParagraph"/>
        <w:numPr>
          <w:ilvl w:val="0"/>
          <w:numId w:val="5"/>
        </w:numPr>
        <w:rPr>
          <w:sz w:val="22"/>
          <w:szCs w:val="22"/>
        </w:rPr>
      </w:pPr>
      <w:r w:rsidRPr="00A676A5">
        <w:rPr>
          <w:sz w:val="22"/>
          <w:szCs w:val="22"/>
        </w:rPr>
        <w:t>Work with colleges and departments, coordinate workshops with instructional designers and other facilitators.</w:t>
      </w:r>
    </w:p>
    <w:p w14:paraId="42510169" w14:textId="5826950D" w:rsidR="00F278B7" w:rsidRDefault="00A92AD3" w:rsidP="00BA1623">
      <w:pPr>
        <w:pStyle w:val="ListParagraph"/>
        <w:numPr>
          <w:ilvl w:val="0"/>
          <w:numId w:val="5"/>
        </w:numPr>
        <w:rPr>
          <w:sz w:val="22"/>
          <w:szCs w:val="22"/>
        </w:rPr>
      </w:pPr>
      <w:r w:rsidRPr="00A676A5">
        <w:rPr>
          <w:sz w:val="22"/>
          <w:szCs w:val="22"/>
        </w:rPr>
        <w:t>Develop asynchronous online modules on a variety of topics to support University initiatives and faculty</w:t>
      </w:r>
      <w:r w:rsidR="0068736C">
        <w:rPr>
          <w:sz w:val="22"/>
          <w:szCs w:val="22"/>
        </w:rPr>
        <w:t xml:space="preserve"> interests. </w:t>
      </w:r>
    </w:p>
    <w:p w14:paraId="5B30E9D0" w14:textId="32FA4882" w:rsidR="00C95D7D" w:rsidRDefault="00C95D7D" w:rsidP="00C95D7D">
      <w:pPr>
        <w:pStyle w:val="ListParagraph"/>
        <w:numPr>
          <w:ilvl w:val="1"/>
          <w:numId w:val="5"/>
        </w:numPr>
        <w:rPr>
          <w:sz w:val="22"/>
          <w:szCs w:val="22"/>
        </w:rPr>
      </w:pPr>
      <w:r>
        <w:rPr>
          <w:sz w:val="22"/>
          <w:szCs w:val="22"/>
        </w:rPr>
        <w:t>Adjunct faculty support</w:t>
      </w:r>
    </w:p>
    <w:p w14:paraId="46BC66D0" w14:textId="2DB44B40" w:rsidR="00C95D7D" w:rsidRDefault="00C95D7D" w:rsidP="00C95D7D">
      <w:pPr>
        <w:pStyle w:val="ListParagraph"/>
        <w:numPr>
          <w:ilvl w:val="1"/>
          <w:numId w:val="5"/>
        </w:numPr>
        <w:rPr>
          <w:sz w:val="22"/>
          <w:szCs w:val="22"/>
        </w:rPr>
      </w:pPr>
      <w:r>
        <w:rPr>
          <w:sz w:val="22"/>
          <w:szCs w:val="22"/>
        </w:rPr>
        <w:t>Writing a learning syllabus</w:t>
      </w:r>
    </w:p>
    <w:p w14:paraId="78B799C2" w14:textId="228E5E03" w:rsidR="00C95D7D" w:rsidRDefault="00C95D7D" w:rsidP="00C95D7D">
      <w:pPr>
        <w:pStyle w:val="ListParagraph"/>
        <w:numPr>
          <w:ilvl w:val="1"/>
          <w:numId w:val="5"/>
        </w:numPr>
        <w:rPr>
          <w:sz w:val="22"/>
          <w:szCs w:val="22"/>
        </w:rPr>
      </w:pPr>
      <w:r>
        <w:rPr>
          <w:sz w:val="22"/>
          <w:szCs w:val="22"/>
        </w:rPr>
        <w:t xml:space="preserve">Writing measurable learning outcomes </w:t>
      </w:r>
    </w:p>
    <w:p w14:paraId="05FFB1EA" w14:textId="575E4FC1" w:rsidR="0068736C" w:rsidRPr="00A676A5" w:rsidRDefault="0068736C" w:rsidP="00BA1623">
      <w:pPr>
        <w:pStyle w:val="ListParagraph"/>
        <w:numPr>
          <w:ilvl w:val="0"/>
          <w:numId w:val="5"/>
        </w:numPr>
        <w:rPr>
          <w:sz w:val="22"/>
          <w:szCs w:val="22"/>
        </w:rPr>
      </w:pPr>
      <w:r>
        <w:rPr>
          <w:sz w:val="22"/>
          <w:szCs w:val="22"/>
        </w:rPr>
        <w:t>Finish writing new CETL website content and publish the new site.</w:t>
      </w:r>
      <w:r w:rsidR="00C95D7D">
        <w:rPr>
          <w:sz w:val="22"/>
          <w:szCs w:val="22"/>
        </w:rPr>
        <w:t xml:space="preserve"> (Completed in November 2019)</w:t>
      </w:r>
    </w:p>
    <w:p w14:paraId="2BBC1643" w14:textId="69AECE05" w:rsidR="00A676A5" w:rsidRDefault="00A676A5" w:rsidP="00A92AD3">
      <w:pPr>
        <w:rPr>
          <w:sz w:val="22"/>
          <w:szCs w:val="22"/>
        </w:rPr>
      </w:pPr>
    </w:p>
    <w:p w14:paraId="3676128A" w14:textId="5538DF06" w:rsidR="00A676A5" w:rsidRDefault="00A676A5" w:rsidP="00A92AD3">
      <w:pPr>
        <w:rPr>
          <w:sz w:val="22"/>
          <w:szCs w:val="22"/>
        </w:rPr>
      </w:pPr>
      <w:r>
        <w:rPr>
          <w:sz w:val="22"/>
          <w:szCs w:val="22"/>
        </w:rPr>
        <w:t xml:space="preserve">Continue well-received annual programs and professional learning communities. </w:t>
      </w:r>
    </w:p>
    <w:p w14:paraId="4254B74A" w14:textId="1C06E27B" w:rsidR="00A676A5" w:rsidRDefault="00A676A5" w:rsidP="00BA1623">
      <w:pPr>
        <w:pStyle w:val="ListParagraph"/>
        <w:numPr>
          <w:ilvl w:val="0"/>
          <w:numId w:val="6"/>
        </w:numPr>
      </w:pPr>
      <w:r>
        <w:t>CETL New Faculty Orientation: Getting Ready for the Classroom</w:t>
      </w:r>
    </w:p>
    <w:p w14:paraId="4F2B5A81" w14:textId="68118069" w:rsidR="00A676A5" w:rsidRDefault="00A676A5" w:rsidP="00BA1623">
      <w:pPr>
        <w:pStyle w:val="ListParagraph"/>
        <w:numPr>
          <w:ilvl w:val="0"/>
          <w:numId w:val="6"/>
        </w:numPr>
      </w:pPr>
      <w:r>
        <w:t>Scholars at Work Conference</w:t>
      </w:r>
    </w:p>
    <w:p w14:paraId="5238FBAC" w14:textId="01D0CCFD" w:rsidR="00A676A5" w:rsidRDefault="00A676A5" w:rsidP="00BA1623">
      <w:pPr>
        <w:pStyle w:val="ListParagraph"/>
        <w:numPr>
          <w:ilvl w:val="0"/>
          <w:numId w:val="6"/>
        </w:numPr>
      </w:pPr>
      <w:r w:rsidRPr="00A676A5">
        <w:t xml:space="preserve">First Year Faculty Cohort </w:t>
      </w:r>
    </w:p>
    <w:p w14:paraId="0F6F8D9D" w14:textId="77777777" w:rsidR="00A676A5" w:rsidRPr="00A676A5" w:rsidRDefault="00A676A5" w:rsidP="00BA1623">
      <w:pPr>
        <w:pStyle w:val="ListParagraph"/>
        <w:numPr>
          <w:ilvl w:val="0"/>
          <w:numId w:val="6"/>
        </w:numPr>
      </w:pPr>
      <w:r w:rsidRPr="00A676A5">
        <w:t xml:space="preserve">Second Year Faculty Cohort </w:t>
      </w:r>
    </w:p>
    <w:p w14:paraId="3F1CAF89" w14:textId="77777777" w:rsidR="00744965" w:rsidRPr="00A676A5" w:rsidRDefault="00744965" w:rsidP="00744965">
      <w:pPr>
        <w:pStyle w:val="ListParagraph"/>
        <w:numPr>
          <w:ilvl w:val="0"/>
          <w:numId w:val="6"/>
        </w:numPr>
      </w:pPr>
      <w:r w:rsidRPr="00A676A5">
        <w:t xml:space="preserve">Cultural Competency Cohort </w:t>
      </w:r>
    </w:p>
    <w:p w14:paraId="4A86FD4D" w14:textId="77777777" w:rsidR="00744965" w:rsidRPr="00A676A5" w:rsidRDefault="00744965" w:rsidP="00744965">
      <w:pPr>
        <w:pStyle w:val="ListParagraph"/>
        <w:numPr>
          <w:ilvl w:val="0"/>
          <w:numId w:val="6"/>
        </w:numPr>
      </w:pPr>
      <w:r w:rsidRPr="00A676A5">
        <w:t xml:space="preserve">Academic Trends &amp; Issues </w:t>
      </w:r>
    </w:p>
    <w:p w14:paraId="7AC6FE74" w14:textId="6EA9BCF2" w:rsidR="00744965" w:rsidRPr="00A676A5" w:rsidRDefault="00744965" w:rsidP="00744965">
      <w:pPr>
        <w:pStyle w:val="ListParagraph"/>
        <w:numPr>
          <w:ilvl w:val="0"/>
          <w:numId w:val="6"/>
        </w:numPr>
      </w:pPr>
      <w:r w:rsidRPr="00A676A5">
        <w:t>Women in Higher Ed</w:t>
      </w:r>
    </w:p>
    <w:p w14:paraId="35AF3CCB" w14:textId="6F03E7E6" w:rsidR="00A676A5" w:rsidRPr="00A676A5" w:rsidRDefault="00A676A5" w:rsidP="00BA1623">
      <w:pPr>
        <w:pStyle w:val="ListParagraph"/>
        <w:numPr>
          <w:ilvl w:val="0"/>
          <w:numId w:val="6"/>
        </w:numPr>
      </w:pPr>
      <w:r>
        <w:t xml:space="preserve">Book discussions </w:t>
      </w:r>
    </w:p>
    <w:p w14:paraId="455B14C7" w14:textId="77777777" w:rsidR="00A676A5" w:rsidRDefault="00A676A5" w:rsidP="00A92AD3">
      <w:pPr>
        <w:rPr>
          <w:sz w:val="22"/>
          <w:szCs w:val="22"/>
        </w:rPr>
      </w:pPr>
    </w:p>
    <w:p w14:paraId="331FDAE8" w14:textId="2EF544FA" w:rsidR="00A676A5" w:rsidRDefault="00A676A5" w:rsidP="00A92AD3">
      <w:pPr>
        <w:rPr>
          <w:sz w:val="22"/>
          <w:szCs w:val="22"/>
        </w:rPr>
      </w:pPr>
      <w:r>
        <w:rPr>
          <w:sz w:val="22"/>
          <w:szCs w:val="22"/>
        </w:rPr>
        <w:t>Create new opportunities for faculty (including service faculty) to connect and collaborate on teaching and learning topics</w:t>
      </w:r>
    </w:p>
    <w:p w14:paraId="3CCB4676" w14:textId="7FEE9716" w:rsidR="0014596F" w:rsidRPr="00A676A5" w:rsidRDefault="00A676A5" w:rsidP="0014596F">
      <w:pPr>
        <w:pStyle w:val="ListParagraph"/>
        <w:numPr>
          <w:ilvl w:val="0"/>
          <w:numId w:val="7"/>
        </w:numPr>
      </w:pPr>
      <w:r w:rsidRPr="00A676A5">
        <w:t xml:space="preserve">Adjunct Faculty </w:t>
      </w:r>
      <w:r w:rsidR="00BA4320">
        <w:t>Online Orientation and Teaching Resources</w:t>
      </w:r>
      <w:r w:rsidRPr="00A676A5">
        <w:t xml:space="preserve"> </w:t>
      </w:r>
      <w:r w:rsidR="0014596F">
        <w:t>(delayed from previous year)</w:t>
      </w:r>
    </w:p>
    <w:p w14:paraId="5A758A8E" w14:textId="77777777" w:rsidR="00A676A5" w:rsidRDefault="00A676A5" w:rsidP="00A92AD3">
      <w:pPr>
        <w:rPr>
          <w:sz w:val="22"/>
          <w:szCs w:val="22"/>
        </w:rPr>
      </w:pPr>
    </w:p>
    <w:p w14:paraId="7222932B" w14:textId="6FA01591" w:rsidR="00A676A5" w:rsidRDefault="000B33A1" w:rsidP="00A92AD3">
      <w:pPr>
        <w:rPr>
          <w:sz w:val="22"/>
          <w:szCs w:val="22"/>
        </w:rPr>
      </w:pPr>
      <w:r>
        <w:rPr>
          <w:sz w:val="22"/>
          <w:szCs w:val="22"/>
        </w:rPr>
        <w:t xml:space="preserve">Identify ways to </w:t>
      </w:r>
      <w:r w:rsidR="00A676A5">
        <w:rPr>
          <w:sz w:val="22"/>
          <w:szCs w:val="22"/>
        </w:rPr>
        <w:t xml:space="preserve">support innovative work that supports student learning. </w:t>
      </w:r>
    </w:p>
    <w:p w14:paraId="4E4C3ABD" w14:textId="2E2BA41A" w:rsidR="004C5706" w:rsidRDefault="00744965" w:rsidP="00BA1623">
      <w:pPr>
        <w:pStyle w:val="ListParagraph"/>
        <w:numPr>
          <w:ilvl w:val="0"/>
          <w:numId w:val="8"/>
        </w:numPr>
        <w:rPr>
          <w:sz w:val="22"/>
          <w:szCs w:val="22"/>
        </w:rPr>
      </w:pPr>
      <w:r>
        <w:rPr>
          <w:sz w:val="22"/>
          <w:szCs w:val="22"/>
        </w:rPr>
        <w:t xml:space="preserve">When funding permits, continue mini grants for specialized topics. </w:t>
      </w:r>
    </w:p>
    <w:p w14:paraId="5B433E01" w14:textId="2682066F" w:rsidR="00744965" w:rsidRPr="008A5F9F" w:rsidRDefault="00744965" w:rsidP="00BA1623">
      <w:pPr>
        <w:pStyle w:val="ListParagraph"/>
        <w:numPr>
          <w:ilvl w:val="0"/>
          <w:numId w:val="8"/>
        </w:numPr>
        <w:rPr>
          <w:sz w:val="22"/>
          <w:szCs w:val="22"/>
        </w:rPr>
      </w:pPr>
      <w:r>
        <w:rPr>
          <w:sz w:val="22"/>
          <w:szCs w:val="22"/>
        </w:rPr>
        <w:t>Seek grants or use online tuition differential to support some events.</w:t>
      </w:r>
    </w:p>
    <w:p w14:paraId="5D7641B8" w14:textId="7B7A074C" w:rsidR="00A71BE0" w:rsidRPr="00A71BE0" w:rsidRDefault="009F0450" w:rsidP="009F0450">
      <w:pPr>
        <w:pStyle w:val="Heading1"/>
        <w:rPr>
          <w:i/>
        </w:rPr>
      </w:pPr>
      <w:r>
        <w:lastRenderedPageBreak/>
        <w:t>VI.</w:t>
      </w:r>
      <w:r w:rsidR="004C5706">
        <w:t xml:space="preserve"> What was learned from the assessment results</w:t>
      </w:r>
      <w:r w:rsidR="00A71BE0">
        <w:t>?</w:t>
      </w:r>
    </w:p>
    <w:p w14:paraId="1CC4209D" w14:textId="68A625C4" w:rsidR="00A71BE0" w:rsidRPr="00D319B9" w:rsidRDefault="00A71BE0" w:rsidP="00D319B9">
      <w:pPr>
        <w:rPr>
          <w:i/>
        </w:rPr>
      </w:pPr>
      <w:r w:rsidRPr="00D319B9">
        <w:rPr>
          <w:i/>
        </w:rPr>
        <w:t>D</w:t>
      </w:r>
      <w:r w:rsidR="004C5706" w:rsidRPr="00D319B9">
        <w:rPr>
          <w:i/>
        </w:rPr>
        <w:t xml:space="preserve">escribe </w:t>
      </w:r>
      <w:r w:rsidRPr="00D319B9">
        <w:rPr>
          <w:i/>
        </w:rPr>
        <w:t>what members of this unit/program found most valuable and useful in the assessment results.</w:t>
      </w:r>
    </w:p>
    <w:p w14:paraId="2B23E8AD" w14:textId="77777777" w:rsidR="00A71BE0" w:rsidRDefault="00A71BE0" w:rsidP="00F278B7">
      <w:pPr>
        <w:pStyle w:val="PlainText"/>
        <w:tabs>
          <w:tab w:val="left" w:pos="540"/>
        </w:tabs>
        <w:ind w:left="540"/>
        <w:rPr>
          <w:rFonts w:ascii="Times New Roman" w:hAnsi="Times New Roman" w:cs="Times New Roman"/>
          <w:sz w:val="24"/>
          <w:szCs w:val="24"/>
        </w:rPr>
      </w:pPr>
    </w:p>
    <w:p w14:paraId="53FDA652" w14:textId="24688246" w:rsidR="0088716A" w:rsidRDefault="00C95D7D" w:rsidP="00D319B9">
      <w:r>
        <w:t xml:space="preserve">Moving the New Faculty Orientation to Tuesday and focusing on basics of course design and D2L Brightspace were well received and should continue. </w:t>
      </w:r>
    </w:p>
    <w:p w14:paraId="74E4B36C" w14:textId="04C43CBC" w:rsidR="000B33A1" w:rsidRDefault="000B33A1" w:rsidP="00D319B9"/>
    <w:p w14:paraId="775AAD91" w14:textId="7C533870" w:rsidR="000B33A1" w:rsidRDefault="000B33A1" w:rsidP="00D319B9">
      <w:r>
        <w:t xml:space="preserve">Greater coordination of materials is needed </w:t>
      </w:r>
      <w:r w:rsidR="00C95D7D">
        <w:t xml:space="preserve">between presenters for </w:t>
      </w:r>
      <w:r>
        <w:t>for workshop</w:t>
      </w:r>
      <w:r w:rsidR="00C95D7D">
        <w:t xml:space="preserve"> </w:t>
      </w:r>
      <w:r>
        <w:t>s</w:t>
      </w:r>
      <w:r w:rsidR="00C95D7D">
        <w:t>eries</w:t>
      </w:r>
      <w:r>
        <w:t xml:space="preserve">. </w:t>
      </w:r>
    </w:p>
    <w:p w14:paraId="612807D8" w14:textId="57C1C3E8" w:rsidR="000B33A1" w:rsidRDefault="000B33A1" w:rsidP="00D319B9"/>
    <w:p w14:paraId="3F857E56" w14:textId="389C7554" w:rsidR="000B33A1" w:rsidRPr="0088716A" w:rsidRDefault="000B33A1" w:rsidP="00D319B9">
      <w:r>
        <w:t xml:space="preserve">The Scholars at Work Conference </w:t>
      </w:r>
      <w:r w:rsidR="00C95D7D">
        <w:t xml:space="preserve">met its </w:t>
      </w:r>
      <w:r>
        <w:t xml:space="preserve">goal to double attendance to 60 participants in 2019. </w:t>
      </w:r>
      <w:r w:rsidR="00C95D7D">
        <w:t xml:space="preserve">Find new ways to promote the event and bolster attendance. </w:t>
      </w:r>
    </w:p>
    <w:p w14:paraId="409DC319" w14:textId="77777777" w:rsidR="0088716A" w:rsidRPr="0088716A" w:rsidRDefault="0088716A" w:rsidP="00D319B9"/>
    <w:p w14:paraId="1BA1ECD2" w14:textId="20EB5915" w:rsidR="00A71BE0" w:rsidRDefault="00C95D7D" w:rsidP="00D319B9">
      <w:r>
        <w:t>D</w:t>
      </w:r>
      <w:r w:rsidR="008A5F9F">
        <w:t xml:space="preserve">eveloping asynchronous online modules for faculty development </w:t>
      </w:r>
      <w:r>
        <w:t>was</w:t>
      </w:r>
      <w:r w:rsidR="008A5F9F">
        <w:t xml:space="preserve"> now a priority</w:t>
      </w:r>
      <w:r>
        <w:t xml:space="preserve"> to accommodate busy schedules and information “on demand,” but faculty participation and completion were low</w:t>
      </w:r>
      <w:r w:rsidR="008A5F9F">
        <w:t xml:space="preserve">. </w:t>
      </w:r>
      <w:r>
        <w:t xml:space="preserve">Promote the events better, but realize that lack of time is not the only obstacle. Practical value of CETL events needs to be promoted. </w:t>
      </w:r>
    </w:p>
    <w:p w14:paraId="7FC52DCD" w14:textId="4A7B13FF" w:rsidR="00C95D7D" w:rsidRDefault="00C95D7D" w:rsidP="00D319B9"/>
    <w:p w14:paraId="2E070211" w14:textId="60C54632" w:rsidR="00A71BE0" w:rsidRPr="00C95D7D" w:rsidRDefault="00C95D7D" w:rsidP="00C95D7D">
      <w:r>
        <w:t xml:space="preserve">A better, more consistent plan must be developed for annual program assessments. </w:t>
      </w:r>
    </w:p>
    <w:p w14:paraId="5DE70E7B" w14:textId="726F74C9" w:rsidR="00A71BE0" w:rsidRDefault="009F0450" w:rsidP="009F0450">
      <w:pPr>
        <w:pStyle w:val="Heading1"/>
      </w:pPr>
      <w:r>
        <w:t>VII.</w:t>
      </w:r>
      <w:r w:rsidR="00A71BE0">
        <w:t xml:space="preserve"> What did the unit/program do as a result of what was learned from the assessment information?</w:t>
      </w:r>
    </w:p>
    <w:p w14:paraId="04236964" w14:textId="77777777" w:rsidR="00A71BE0" w:rsidRDefault="00A71BE0" w:rsidP="00A71BE0">
      <w:pPr>
        <w:pStyle w:val="PlainText"/>
        <w:tabs>
          <w:tab w:val="left" w:pos="540"/>
        </w:tabs>
        <w:ind w:left="720"/>
        <w:rPr>
          <w:rFonts w:ascii="Times New Roman" w:hAnsi="Times New Roman" w:cs="Times New Roman"/>
          <w:sz w:val="24"/>
          <w:szCs w:val="24"/>
        </w:rPr>
      </w:pPr>
    </w:p>
    <w:p w14:paraId="5E54C485" w14:textId="09950B2E" w:rsidR="00665660" w:rsidRDefault="00D319B9" w:rsidP="00D319B9">
      <w:r>
        <w:t>Development began on professional development materials that could be accessed asynchronously and on demand.</w:t>
      </w:r>
      <w:r w:rsidR="00C95D7D">
        <w:t xml:space="preserve"> Implemented spring 2019.</w:t>
      </w:r>
    </w:p>
    <w:p w14:paraId="284A8181" w14:textId="4D57045C" w:rsidR="005324C9" w:rsidRDefault="005324C9" w:rsidP="00D319B9"/>
    <w:p w14:paraId="1E4F16BD" w14:textId="5CF7A637" w:rsidR="005324C9" w:rsidRDefault="005324C9" w:rsidP="00D319B9">
      <w:r>
        <w:t>Programs were modified and added as described above.</w:t>
      </w:r>
    </w:p>
    <w:p w14:paraId="1B62319F" w14:textId="77777777" w:rsidR="00A71BE0" w:rsidRDefault="00A71BE0" w:rsidP="00CB1C20">
      <w:pPr>
        <w:pStyle w:val="PlainText"/>
        <w:tabs>
          <w:tab w:val="left" w:pos="540"/>
        </w:tabs>
        <w:rPr>
          <w:rFonts w:ascii="Times New Roman" w:hAnsi="Times New Roman" w:cs="Times New Roman"/>
          <w:sz w:val="24"/>
          <w:szCs w:val="24"/>
        </w:rPr>
      </w:pPr>
    </w:p>
    <w:p w14:paraId="2116609A" w14:textId="7D75ADED" w:rsidR="00A71BE0" w:rsidRPr="00A71BE0" w:rsidRDefault="009F0450" w:rsidP="009F0450">
      <w:pPr>
        <w:pStyle w:val="Heading1"/>
      </w:pPr>
      <w:r>
        <w:t xml:space="preserve">VIII. </w:t>
      </w:r>
      <w:r w:rsidR="00A71BE0">
        <w:t>How did the unit/program make use of feedback from the previous year’s assessment?</w:t>
      </w:r>
    </w:p>
    <w:p w14:paraId="7284C47E" w14:textId="77777777" w:rsidR="00A71BE0" w:rsidRDefault="00A71BE0" w:rsidP="00A71BE0">
      <w:pPr>
        <w:pStyle w:val="PlainText"/>
        <w:tabs>
          <w:tab w:val="left" w:pos="540"/>
        </w:tabs>
        <w:rPr>
          <w:rFonts w:ascii="Times New Roman" w:hAnsi="Times New Roman" w:cs="Times New Roman"/>
          <w:sz w:val="24"/>
          <w:szCs w:val="24"/>
        </w:rPr>
      </w:pPr>
    </w:p>
    <w:p w14:paraId="00E76A88" w14:textId="19C6FB1F" w:rsidR="00527A1A" w:rsidRDefault="005324C9" w:rsidP="005324C9">
      <w:r>
        <w:t xml:space="preserve">Feedback was incorporated in the decisions to modify, add, or remove programs as described above. </w:t>
      </w:r>
    </w:p>
    <w:p w14:paraId="019C9AC6" w14:textId="6FEA4E7B" w:rsidR="005324C9" w:rsidRDefault="005324C9" w:rsidP="005324C9"/>
    <w:sectPr w:rsidR="005324C9" w:rsidSect="008871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8BE1F" w14:textId="77777777" w:rsidR="00D42CBE" w:rsidRDefault="00D42CBE" w:rsidP="006E0C7E">
      <w:r>
        <w:separator/>
      </w:r>
    </w:p>
  </w:endnote>
  <w:endnote w:type="continuationSeparator" w:id="0">
    <w:p w14:paraId="790DD540" w14:textId="77777777" w:rsidR="00D42CBE" w:rsidRDefault="00D42CBE" w:rsidP="006E0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Next">
    <w:panose1 w:val="020B0503020202020204"/>
    <w:charset w:val="00"/>
    <w:family w:val="swiss"/>
    <w:pitch w:val="variable"/>
    <w:sig w:usb0="8000002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w:panose1 w:val="02000503020000020003"/>
    <w:charset w:val="4D"/>
    <w:family w:val="swiss"/>
    <w:pitch w:val="variable"/>
    <w:sig w:usb0="800000AF" w:usb1="5000204A" w:usb2="00000000" w:usb3="00000000" w:csb0="0000009B" w:csb1="00000000"/>
  </w:font>
  <w:font w:name="Charter Roman">
    <w:altName w:val="CHARTER ROMAN"/>
    <w:panose1 w:val="02040503050506020203"/>
    <w:charset w:val="00"/>
    <w:family w:val="roman"/>
    <w:pitch w:val="variable"/>
    <w:sig w:usb0="800000AF" w:usb1="1000204A" w:usb2="00000000" w:usb3="00000000" w:csb0="0000001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70A22" w14:textId="77777777" w:rsidR="000819BC" w:rsidRPr="008406A6" w:rsidRDefault="000819BC">
    <w:pPr>
      <w:pStyle w:val="Footer"/>
      <w:rPr>
        <w:sz w:val="20"/>
        <w:szCs w:val="20"/>
      </w:rPr>
    </w:pPr>
    <w:r w:rsidRPr="008406A6">
      <w:rPr>
        <w:sz w:val="20"/>
        <w:szCs w:val="20"/>
      </w:rPr>
      <w:t>Updated March 3, 2014</w:t>
    </w:r>
    <w:r>
      <w:rPr>
        <w:sz w:val="20"/>
        <w:szCs w:val="20"/>
      </w:rPr>
      <w:t xml:space="preserve">  PFEM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B6FAB" w14:textId="77777777" w:rsidR="00D42CBE" w:rsidRDefault="00D42CBE" w:rsidP="006E0C7E">
      <w:r>
        <w:separator/>
      </w:r>
    </w:p>
  </w:footnote>
  <w:footnote w:type="continuationSeparator" w:id="0">
    <w:p w14:paraId="0F96272E" w14:textId="77777777" w:rsidR="00D42CBE" w:rsidRDefault="00D42CBE" w:rsidP="006E0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971204"/>
      <w:docPartObj>
        <w:docPartGallery w:val="Page Numbers (Top of Page)"/>
        <w:docPartUnique/>
      </w:docPartObj>
    </w:sdtPr>
    <w:sdtEndPr>
      <w:rPr>
        <w:noProof/>
      </w:rPr>
    </w:sdtEndPr>
    <w:sdtContent>
      <w:p w14:paraId="133D2204" w14:textId="1DCC33F7" w:rsidR="000819BC" w:rsidRDefault="000819BC">
        <w:pPr>
          <w:pStyle w:val="Header"/>
          <w:jc w:val="right"/>
        </w:pPr>
        <w:r>
          <w:t xml:space="preserve">CETL non-academic program assessment 2018, page </w:t>
        </w:r>
        <w:r>
          <w:fldChar w:fldCharType="begin"/>
        </w:r>
        <w:r>
          <w:instrText xml:space="preserve"> PAGE   \* MERGEFORMAT </w:instrText>
        </w:r>
        <w:r>
          <w:fldChar w:fldCharType="separate"/>
        </w:r>
        <w:r>
          <w:rPr>
            <w:noProof/>
          </w:rPr>
          <w:t>6</w:t>
        </w:r>
        <w:r>
          <w:rPr>
            <w:noProof/>
          </w:rPr>
          <w:fldChar w:fldCharType="end"/>
        </w:r>
      </w:p>
    </w:sdtContent>
  </w:sdt>
  <w:p w14:paraId="2B4EA009" w14:textId="77777777" w:rsidR="000819BC" w:rsidRDefault="00081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4D6B"/>
    <w:multiLevelType w:val="hybridMultilevel"/>
    <w:tmpl w:val="8BD86A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10CE9"/>
    <w:multiLevelType w:val="hybridMultilevel"/>
    <w:tmpl w:val="F210F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2749E"/>
    <w:multiLevelType w:val="hybridMultilevel"/>
    <w:tmpl w:val="3BDCED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8E5665"/>
    <w:multiLevelType w:val="hybridMultilevel"/>
    <w:tmpl w:val="6BE2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A1EBD"/>
    <w:multiLevelType w:val="hybridMultilevel"/>
    <w:tmpl w:val="D6180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97927"/>
    <w:multiLevelType w:val="hybridMultilevel"/>
    <w:tmpl w:val="22D8229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95B9C"/>
    <w:multiLevelType w:val="hybridMultilevel"/>
    <w:tmpl w:val="56649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BA59E2"/>
    <w:multiLevelType w:val="hybridMultilevel"/>
    <w:tmpl w:val="FEA49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9D1BA4"/>
    <w:multiLevelType w:val="hybridMultilevel"/>
    <w:tmpl w:val="0FA20006"/>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89790A"/>
    <w:multiLevelType w:val="hybridMultilevel"/>
    <w:tmpl w:val="EAA2E8CC"/>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3C0066D"/>
    <w:multiLevelType w:val="hybridMultilevel"/>
    <w:tmpl w:val="4EB84320"/>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42442B"/>
    <w:multiLevelType w:val="hybridMultilevel"/>
    <w:tmpl w:val="63E4A3F6"/>
    <w:lvl w:ilvl="0" w:tplc="8BB06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35057F"/>
    <w:multiLevelType w:val="hybridMultilevel"/>
    <w:tmpl w:val="10CEF5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3D611DC"/>
    <w:multiLevelType w:val="hybridMultilevel"/>
    <w:tmpl w:val="8B12B61C"/>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5F339E"/>
    <w:multiLevelType w:val="hybridMultilevel"/>
    <w:tmpl w:val="C13ED9A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E6542A"/>
    <w:multiLevelType w:val="hybridMultilevel"/>
    <w:tmpl w:val="22D8229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71745C"/>
    <w:multiLevelType w:val="hybridMultilevel"/>
    <w:tmpl w:val="9B521346"/>
    <w:lvl w:ilvl="0" w:tplc="04090001">
      <w:start w:val="1"/>
      <w:numFmt w:val="bullet"/>
      <w:lvlText w:val=""/>
      <w:lvlJc w:val="left"/>
      <w:pPr>
        <w:ind w:left="720" w:hanging="360"/>
      </w:pPr>
      <w:rPr>
        <w:rFonts w:ascii="Symbol" w:hAnsi="Symbol"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611742"/>
    <w:multiLevelType w:val="hybridMultilevel"/>
    <w:tmpl w:val="D502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9D0749"/>
    <w:multiLevelType w:val="hybridMultilevel"/>
    <w:tmpl w:val="6F3A6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272261"/>
    <w:multiLevelType w:val="hybridMultilevel"/>
    <w:tmpl w:val="1624A8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EF1A4E"/>
    <w:multiLevelType w:val="hybridMultilevel"/>
    <w:tmpl w:val="D730E8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B523ED"/>
    <w:multiLevelType w:val="hybridMultilevel"/>
    <w:tmpl w:val="E698E94A"/>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5838D5"/>
    <w:multiLevelType w:val="hybridMultilevel"/>
    <w:tmpl w:val="11E24A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6"/>
  </w:num>
  <w:num w:numId="4">
    <w:abstractNumId w:val="9"/>
  </w:num>
  <w:num w:numId="5">
    <w:abstractNumId w:val="18"/>
  </w:num>
  <w:num w:numId="6">
    <w:abstractNumId w:val="4"/>
  </w:num>
  <w:num w:numId="7">
    <w:abstractNumId w:val="17"/>
  </w:num>
  <w:num w:numId="8">
    <w:abstractNumId w:val="3"/>
  </w:num>
  <w:num w:numId="9">
    <w:abstractNumId w:val="22"/>
  </w:num>
  <w:num w:numId="10">
    <w:abstractNumId w:val="20"/>
  </w:num>
  <w:num w:numId="11">
    <w:abstractNumId w:val="0"/>
  </w:num>
  <w:num w:numId="12">
    <w:abstractNumId w:val="19"/>
  </w:num>
  <w:num w:numId="13">
    <w:abstractNumId w:val="15"/>
  </w:num>
  <w:num w:numId="14">
    <w:abstractNumId w:val="14"/>
  </w:num>
  <w:num w:numId="15">
    <w:abstractNumId w:val="6"/>
  </w:num>
  <w:num w:numId="16">
    <w:abstractNumId w:val="12"/>
  </w:num>
  <w:num w:numId="17">
    <w:abstractNumId w:val="2"/>
  </w:num>
  <w:num w:numId="18">
    <w:abstractNumId w:val="13"/>
  </w:num>
  <w:num w:numId="19">
    <w:abstractNumId w:val="1"/>
  </w:num>
  <w:num w:numId="20">
    <w:abstractNumId w:val="21"/>
  </w:num>
  <w:num w:numId="21">
    <w:abstractNumId w:val="8"/>
  </w:num>
  <w:num w:numId="22">
    <w:abstractNumId w:val="10"/>
  </w:num>
  <w:num w:numId="23">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C54"/>
    <w:rsid w:val="0000372E"/>
    <w:rsid w:val="00015CE2"/>
    <w:rsid w:val="000213C0"/>
    <w:rsid w:val="000315DE"/>
    <w:rsid w:val="00044457"/>
    <w:rsid w:val="00044E0B"/>
    <w:rsid w:val="00046A15"/>
    <w:rsid w:val="00050457"/>
    <w:rsid w:val="000509DA"/>
    <w:rsid w:val="00050BC3"/>
    <w:rsid w:val="00052151"/>
    <w:rsid w:val="00054C22"/>
    <w:rsid w:val="00061CB8"/>
    <w:rsid w:val="00074D6C"/>
    <w:rsid w:val="000819BC"/>
    <w:rsid w:val="00082068"/>
    <w:rsid w:val="00082231"/>
    <w:rsid w:val="00086545"/>
    <w:rsid w:val="00090309"/>
    <w:rsid w:val="00090CA7"/>
    <w:rsid w:val="000A07F6"/>
    <w:rsid w:val="000A28BA"/>
    <w:rsid w:val="000A5DDC"/>
    <w:rsid w:val="000A7B72"/>
    <w:rsid w:val="000B33A1"/>
    <w:rsid w:val="000B61D5"/>
    <w:rsid w:val="000C4C56"/>
    <w:rsid w:val="000C7336"/>
    <w:rsid w:val="000C7DF9"/>
    <w:rsid w:val="000C7E9D"/>
    <w:rsid w:val="000D22E2"/>
    <w:rsid w:val="001039C7"/>
    <w:rsid w:val="00103BA2"/>
    <w:rsid w:val="001146B4"/>
    <w:rsid w:val="00131078"/>
    <w:rsid w:val="0013179C"/>
    <w:rsid w:val="001342A8"/>
    <w:rsid w:val="00134E37"/>
    <w:rsid w:val="00143C63"/>
    <w:rsid w:val="0014596F"/>
    <w:rsid w:val="0015604B"/>
    <w:rsid w:val="00167649"/>
    <w:rsid w:val="00183141"/>
    <w:rsid w:val="00196C14"/>
    <w:rsid w:val="001971E0"/>
    <w:rsid w:val="001A140C"/>
    <w:rsid w:val="001B47C9"/>
    <w:rsid w:val="001B529F"/>
    <w:rsid w:val="001C1C2B"/>
    <w:rsid w:val="001C6B58"/>
    <w:rsid w:val="001D0329"/>
    <w:rsid w:val="001F1438"/>
    <w:rsid w:val="001F538E"/>
    <w:rsid w:val="001F662B"/>
    <w:rsid w:val="001F7A1C"/>
    <w:rsid w:val="00213B52"/>
    <w:rsid w:val="00214A4F"/>
    <w:rsid w:val="00223F03"/>
    <w:rsid w:val="002346B7"/>
    <w:rsid w:val="00250241"/>
    <w:rsid w:val="002515F3"/>
    <w:rsid w:val="002646F8"/>
    <w:rsid w:val="00264818"/>
    <w:rsid w:val="0026735A"/>
    <w:rsid w:val="00271246"/>
    <w:rsid w:val="00277726"/>
    <w:rsid w:val="0028419C"/>
    <w:rsid w:val="0029338D"/>
    <w:rsid w:val="002A16D5"/>
    <w:rsid w:val="002A634A"/>
    <w:rsid w:val="002C063D"/>
    <w:rsid w:val="002C0B91"/>
    <w:rsid w:val="002D73E8"/>
    <w:rsid w:val="002E7110"/>
    <w:rsid w:val="002F36DA"/>
    <w:rsid w:val="00307A9E"/>
    <w:rsid w:val="00311554"/>
    <w:rsid w:val="003134A1"/>
    <w:rsid w:val="00317D83"/>
    <w:rsid w:val="003317D9"/>
    <w:rsid w:val="0033538C"/>
    <w:rsid w:val="00361326"/>
    <w:rsid w:val="00361667"/>
    <w:rsid w:val="00374581"/>
    <w:rsid w:val="00375A53"/>
    <w:rsid w:val="003856C6"/>
    <w:rsid w:val="003903C3"/>
    <w:rsid w:val="003A0CAD"/>
    <w:rsid w:val="003A22C3"/>
    <w:rsid w:val="003A45C2"/>
    <w:rsid w:val="003A6C64"/>
    <w:rsid w:val="003B3C54"/>
    <w:rsid w:val="003B5292"/>
    <w:rsid w:val="003D1388"/>
    <w:rsid w:val="003D7A44"/>
    <w:rsid w:val="003E2EEE"/>
    <w:rsid w:val="003E5290"/>
    <w:rsid w:val="003F527E"/>
    <w:rsid w:val="00407DD3"/>
    <w:rsid w:val="00410013"/>
    <w:rsid w:val="00417C67"/>
    <w:rsid w:val="00436FDC"/>
    <w:rsid w:val="00440CE0"/>
    <w:rsid w:val="00440E97"/>
    <w:rsid w:val="00460332"/>
    <w:rsid w:val="004621B4"/>
    <w:rsid w:val="00465886"/>
    <w:rsid w:val="00472667"/>
    <w:rsid w:val="00473E8E"/>
    <w:rsid w:val="00480631"/>
    <w:rsid w:val="00482DC3"/>
    <w:rsid w:val="00491D9A"/>
    <w:rsid w:val="00497C98"/>
    <w:rsid w:val="004A28C7"/>
    <w:rsid w:val="004A74A1"/>
    <w:rsid w:val="004B2971"/>
    <w:rsid w:val="004C44C5"/>
    <w:rsid w:val="004C5706"/>
    <w:rsid w:val="004D4EF3"/>
    <w:rsid w:val="00506061"/>
    <w:rsid w:val="00512727"/>
    <w:rsid w:val="00515BF4"/>
    <w:rsid w:val="00526534"/>
    <w:rsid w:val="00527A1A"/>
    <w:rsid w:val="005320AE"/>
    <w:rsid w:val="005324C9"/>
    <w:rsid w:val="00550003"/>
    <w:rsid w:val="00550A31"/>
    <w:rsid w:val="00551923"/>
    <w:rsid w:val="00555A17"/>
    <w:rsid w:val="00557FF0"/>
    <w:rsid w:val="005630E7"/>
    <w:rsid w:val="00567662"/>
    <w:rsid w:val="005716A6"/>
    <w:rsid w:val="00574D5F"/>
    <w:rsid w:val="00574DC9"/>
    <w:rsid w:val="0058622E"/>
    <w:rsid w:val="00586F2B"/>
    <w:rsid w:val="00594C57"/>
    <w:rsid w:val="005A34D6"/>
    <w:rsid w:val="005B073A"/>
    <w:rsid w:val="005C2D16"/>
    <w:rsid w:val="005C69B9"/>
    <w:rsid w:val="005D013A"/>
    <w:rsid w:val="005D6948"/>
    <w:rsid w:val="005E0F52"/>
    <w:rsid w:val="005E1C52"/>
    <w:rsid w:val="005E6976"/>
    <w:rsid w:val="005F1B05"/>
    <w:rsid w:val="0060652B"/>
    <w:rsid w:val="00610CBB"/>
    <w:rsid w:val="006345E4"/>
    <w:rsid w:val="00634E86"/>
    <w:rsid w:val="00641314"/>
    <w:rsid w:val="006414D6"/>
    <w:rsid w:val="006446EB"/>
    <w:rsid w:val="00653DDF"/>
    <w:rsid w:val="00665660"/>
    <w:rsid w:val="00666013"/>
    <w:rsid w:val="00676F59"/>
    <w:rsid w:val="006774AC"/>
    <w:rsid w:val="00684AE8"/>
    <w:rsid w:val="00685F63"/>
    <w:rsid w:val="0068736C"/>
    <w:rsid w:val="00690204"/>
    <w:rsid w:val="006A068E"/>
    <w:rsid w:val="006A1FCE"/>
    <w:rsid w:val="006A269F"/>
    <w:rsid w:val="006A710F"/>
    <w:rsid w:val="006B1B3B"/>
    <w:rsid w:val="006C19E3"/>
    <w:rsid w:val="006C1F8B"/>
    <w:rsid w:val="006D3ED1"/>
    <w:rsid w:val="006D7AD6"/>
    <w:rsid w:val="006E0C7E"/>
    <w:rsid w:val="006E6AAF"/>
    <w:rsid w:val="006F1B43"/>
    <w:rsid w:val="00704155"/>
    <w:rsid w:val="00717AA4"/>
    <w:rsid w:val="00740785"/>
    <w:rsid w:val="007432B9"/>
    <w:rsid w:val="00744965"/>
    <w:rsid w:val="007574FA"/>
    <w:rsid w:val="007662BE"/>
    <w:rsid w:val="0076640E"/>
    <w:rsid w:val="00776E33"/>
    <w:rsid w:val="0078262A"/>
    <w:rsid w:val="007845DB"/>
    <w:rsid w:val="007876A7"/>
    <w:rsid w:val="007A3EDF"/>
    <w:rsid w:val="007A50F6"/>
    <w:rsid w:val="007A6CBB"/>
    <w:rsid w:val="007A7361"/>
    <w:rsid w:val="007B441E"/>
    <w:rsid w:val="007B721E"/>
    <w:rsid w:val="007D1D23"/>
    <w:rsid w:val="007D5732"/>
    <w:rsid w:val="007D67AF"/>
    <w:rsid w:val="007D6E43"/>
    <w:rsid w:val="007E6179"/>
    <w:rsid w:val="007F549B"/>
    <w:rsid w:val="00801995"/>
    <w:rsid w:val="0080480C"/>
    <w:rsid w:val="00813EC1"/>
    <w:rsid w:val="008171AE"/>
    <w:rsid w:val="00817942"/>
    <w:rsid w:val="00822AFE"/>
    <w:rsid w:val="008242C4"/>
    <w:rsid w:val="00825BEA"/>
    <w:rsid w:val="0083719C"/>
    <w:rsid w:val="008406A6"/>
    <w:rsid w:val="00840A41"/>
    <w:rsid w:val="008442F8"/>
    <w:rsid w:val="008549C3"/>
    <w:rsid w:val="0085568F"/>
    <w:rsid w:val="008739B2"/>
    <w:rsid w:val="00883039"/>
    <w:rsid w:val="0088716A"/>
    <w:rsid w:val="00891CCB"/>
    <w:rsid w:val="00892EEF"/>
    <w:rsid w:val="00895C11"/>
    <w:rsid w:val="00896417"/>
    <w:rsid w:val="00896CD2"/>
    <w:rsid w:val="008A048B"/>
    <w:rsid w:val="008A5F9F"/>
    <w:rsid w:val="008E6915"/>
    <w:rsid w:val="008F0981"/>
    <w:rsid w:val="00904D40"/>
    <w:rsid w:val="00907602"/>
    <w:rsid w:val="00907974"/>
    <w:rsid w:val="00911013"/>
    <w:rsid w:val="009144B8"/>
    <w:rsid w:val="00922E6B"/>
    <w:rsid w:val="00931CF1"/>
    <w:rsid w:val="0093252F"/>
    <w:rsid w:val="0094030B"/>
    <w:rsid w:val="00940577"/>
    <w:rsid w:val="00941BF1"/>
    <w:rsid w:val="00944EB2"/>
    <w:rsid w:val="009468CE"/>
    <w:rsid w:val="00976740"/>
    <w:rsid w:val="00982EA9"/>
    <w:rsid w:val="009851B5"/>
    <w:rsid w:val="0099295B"/>
    <w:rsid w:val="009A0F57"/>
    <w:rsid w:val="009B78AA"/>
    <w:rsid w:val="009C1263"/>
    <w:rsid w:val="009C4681"/>
    <w:rsid w:val="009D329A"/>
    <w:rsid w:val="009E542A"/>
    <w:rsid w:val="009F0450"/>
    <w:rsid w:val="009F0D62"/>
    <w:rsid w:val="009F48D9"/>
    <w:rsid w:val="009F566C"/>
    <w:rsid w:val="00A00470"/>
    <w:rsid w:val="00A05DFA"/>
    <w:rsid w:val="00A32B01"/>
    <w:rsid w:val="00A434B8"/>
    <w:rsid w:val="00A52C7F"/>
    <w:rsid w:val="00A676A5"/>
    <w:rsid w:val="00A71BE0"/>
    <w:rsid w:val="00A71CB2"/>
    <w:rsid w:val="00A7207E"/>
    <w:rsid w:val="00A75CE0"/>
    <w:rsid w:val="00A83880"/>
    <w:rsid w:val="00A92AD3"/>
    <w:rsid w:val="00A95AFF"/>
    <w:rsid w:val="00AA050F"/>
    <w:rsid w:val="00AC4C64"/>
    <w:rsid w:val="00AE0D2C"/>
    <w:rsid w:val="00B06B0E"/>
    <w:rsid w:val="00B16A9A"/>
    <w:rsid w:val="00B2670A"/>
    <w:rsid w:val="00B30868"/>
    <w:rsid w:val="00B30A14"/>
    <w:rsid w:val="00B347E9"/>
    <w:rsid w:val="00B41225"/>
    <w:rsid w:val="00B438CC"/>
    <w:rsid w:val="00B51B88"/>
    <w:rsid w:val="00B55EF4"/>
    <w:rsid w:val="00B63211"/>
    <w:rsid w:val="00B704FE"/>
    <w:rsid w:val="00B82313"/>
    <w:rsid w:val="00B9370A"/>
    <w:rsid w:val="00B97467"/>
    <w:rsid w:val="00BA1623"/>
    <w:rsid w:val="00BA21E4"/>
    <w:rsid w:val="00BA4320"/>
    <w:rsid w:val="00BA723E"/>
    <w:rsid w:val="00BC7A79"/>
    <w:rsid w:val="00BD12D8"/>
    <w:rsid w:val="00BD1502"/>
    <w:rsid w:val="00BD2B83"/>
    <w:rsid w:val="00BD3097"/>
    <w:rsid w:val="00BD64E4"/>
    <w:rsid w:val="00BE4913"/>
    <w:rsid w:val="00BF0893"/>
    <w:rsid w:val="00BF3C6F"/>
    <w:rsid w:val="00C10B20"/>
    <w:rsid w:val="00C145C4"/>
    <w:rsid w:val="00C25496"/>
    <w:rsid w:val="00C25EFB"/>
    <w:rsid w:val="00C31E4E"/>
    <w:rsid w:val="00C36F23"/>
    <w:rsid w:val="00C666EF"/>
    <w:rsid w:val="00C67382"/>
    <w:rsid w:val="00C74BEC"/>
    <w:rsid w:val="00C80B44"/>
    <w:rsid w:val="00C86FBF"/>
    <w:rsid w:val="00C929B6"/>
    <w:rsid w:val="00C92E6F"/>
    <w:rsid w:val="00C94D66"/>
    <w:rsid w:val="00C95D7D"/>
    <w:rsid w:val="00CA7BBA"/>
    <w:rsid w:val="00CB061C"/>
    <w:rsid w:val="00CB1C20"/>
    <w:rsid w:val="00CB41C9"/>
    <w:rsid w:val="00CC5D2A"/>
    <w:rsid w:val="00CD02B5"/>
    <w:rsid w:val="00CD1F2F"/>
    <w:rsid w:val="00CD27F9"/>
    <w:rsid w:val="00CD2B27"/>
    <w:rsid w:val="00CE1782"/>
    <w:rsid w:val="00CF1AC1"/>
    <w:rsid w:val="00D00047"/>
    <w:rsid w:val="00D04B83"/>
    <w:rsid w:val="00D069CF"/>
    <w:rsid w:val="00D22504"/>
    <w:rsid w:val="00D319B9"/>
    <w:rsid w:val="00D34868"/>
    <w:rsid w:val="00D3723D"/>
    <w:rsid w:val="00D40E89"/>
    <w:rsid w:val="00D42CBE"/>
    <w:rsid w:val="00D43476"/>
    <w:rsid w:val="00D461B9"/>
    <w:rsid w:val="00D47828"/>
    <w:rsid w:val="00D67D93"/>
    <w:rsid w:val="00D823EE"/>
    <w:rsid w:val="00D94193"/>
    <w:rsid w:val="00DA6D33"/>
    <w:rsid w:val="00DB48F0"/>
    <w:rsid w:val="00DC0105"/>
    <w:rsid w:val="00DC3C1E"/>
    <w:rsid w:val="00DD1570"/>
    <w:rsid w:val="00DD2AC8"/>
    <w:rsid w:val="00DE37A2"/>
    <w:rsid w:val="00DE5F62"/>
    <w:rsid w:val="00DE75D4"/>
    <w:rsid w:val="00DF59BC"/>
    <w:rsid w:val="00DF78F7"/>
    <w:rsid w:val="00E10FBC"/>
    <w:rsid w:val="00E1138D"/>
    <w:rsid w:val="00E11FAD"/>
    <w:rsid w:val="00E12333"/>
    <w:rsid w:val="00E14336"/>
    <w:rsid w:val="00E156B1"/>
    <w:rsid w:val="00E25C37"/>
    <w:rsid w:val="00E3355E"/>
    <w:rsid w:val="00E3431D"/>
    <w:rsid w:val="00E34B1D"/>
    <w:rsid w:val="00E3653C"/>
    <w:rsid w:val="00E54FFE"/>
    <w:rsid w:val="00E5638A"/>
    <w:rsid w:val="00E57742"/>
    <w:rsid w:val="00E76D8E"/>
    <w:rsid w:val="00E84096"/>
    <w:rsid w:val="00E852A5"/>
    <w:rsid w:val="00E911F8"/>
    <w:rsid w:val="00E92042"/>
    <w:rsid w:val="00EA2E02"/>
    <w:rsid w:val="00EA65E3"/>
    <w:rsid w:val="00ED30E0"/>
    <w:rsid w:val="00EE58C2"/>
    <w:rsid w:val="00EF3F12"/>
    <w:rsid w:val="00EF614E"/>
    <w:rsid w:val="00EF66BD"/>
    <w:rsid w:val="00F0032D"/>
    <w:rsid w:val="00F03DCA"/>
    <w:rsid w:val="00F114A8"/>
    <w:rsid w:val="00F278B7"/>
    <w:rsid w:val="00F363D2"/>
    <w:rsid w:val="00F41693"/>
    <w:rsid w:val="00F435D4"/>
    <w:rsid w:val="00F46E60"/>
    <w:rsid w:val="00F537F1"/>
    <w:rsid w:val="00F540E9"/>
    <w:rsid w:val="00F54F85"/>
    <w:rsid w:val="00F65B2F"/>
    <w:rsid w:val="00F67B31"/>
    <w:rsid w:val="00F70525"/>
    <w:rsid w:val="00F718A8"/>
    <w:rsid w:val="00F71D2E"/>
    <w:rsid w:val="00F72A2B"/>
    <w:rsid w:val="00F7378D"/>
    <w:rsid w:val="00F7672D"/>
    <w:rsid w:val="00F85741"/>
    <w:rsid w:val="00F86985"/>
    <w:rsid w:val="00F86B57"/>
    <w:rsid w:val="00F95264"/>
    <w:rsid w:val="00FA02A5"/>
    <w:rsid w:val="00FA5197"/>
    <w:rsid w:val="00FA6EA9"/>
    <w:rsid w:val="00FB4808"/>
    <w:rsid w:val="00FB56BA"/>
    <w:rsid w:val="00FC6E9D"/>
    <w:rsid w:val="00FD119B"/>
    <w:rsid w:val="00FE20C4"/>
    <w:rsid w:val="00FE2671"/>
    <w:rsid w:val="00FE62AC"/>
    <w:rsid w:val="00FF4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13C780"/>
  <w15:docId w15:val="{CE568534-BD2C-D345-9527-ACD7061F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86F2B"/>
    <w:rPr>
      <w:rFonts w:ascii="Avenir Next" w:hAnsi="Avenir Next"/>
      <w:sz w:val="21"/>
      <w:szCs w:val="24"/>
    </w:rPr>
  </w:style>
  <w:style w:type="paragraph" w:styleId="Heading1">
    <w:name w:val="heading 1"/>
    <w:basedOn w:val="Normal"/>
    <w:next w:val="Normal"/>
    <w:link w:val="Heading1Char"/>
    <w:qFormat/>
    <w:rsid w:val="00015CE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586F2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DD1570"/>
    <w:pPr>
      <w:tabs>
        <w:tab w:val="left" w:pos="0"/>
      </w:tabs>
      <w:outlineLvl w:val="2"/>
    </w:pPr>
    <w:rPr>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3B3C54"/>
    <w:rPr>
      <w:rFonts w:ascii="Courier New" w:hAnsi="Courier New" w:cs="Courier New"/>
      <w:sz w:val="20"/>
      <w:szCs w:val="20"/>
    </w:rPr>
  </w:style>
  <w:style w:type="table" w:styleId="TableGrid">
    <w:name w:val="Table Grid"/>
    <w:basedOn w:val="TableNormal"/>
    <w:uiPriority w:val="59"/>
    <w:rsid w:val="009A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9A0F5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alloonText">
    <w:name w:val="Balloon Text"/>
    <w:basedOn w:val="Normal"/>
    <w:link w:val="BalloonTextChar"/>
    <w:rsid w:val="00C80B44"/>
    <w:rPr>
      <w:rFonts w:ascii="Tahoma" w:hAnsi="Tahoma" w:cs="Tahoma"/>
      <w:sz w:val="16"/>
      <w:szCs w:val="16"/>
    </w:rPr>
  </w:style>
  <w:style w:type="character" w:customStyle="1" w:styleId="BalloonTextChar">
    <w:name w:val="Balloon Text Char"/>
    <w:basedOn w:val="DefaultParagraphFont"/>
    <w:link w:val="BalloonText"/>
    <w:rsid w:val="00C80B44"/>
    <w:rPr>
      <w:rFonts w:ascii="Tahoma" w:hAnsi="Tahoma" w:cs="Tahoma"/>
      <w:sz w:val="16"/>
      <w:szCs w:val="16"/>
    </w:rPr>
  </w:style>
  <w:style w:type="character" w:styleId="CommentReference">
    <w:name w:val="annotation reference"/>
    <w:basedOn w:val="DefaultParagraphFont"/>
    <w:rsid w:val="00C80B44"/>
    <w:rPr>
      <w:sz w:val="16"/>
      <w:szCs w:val="16"/>
    </w:rPr>
  </w:style>
  <w:style w:type="paragraph" w:styleId="CommentText">
    <w:name w:val="annotation text"/>
    <w:basedOn w:val="Normal"/>
    <w:link w:val="CommentTextChar"/>
    <w:rsid w:val="00C80B44"/>
    <w:rPr>
      <w:sz w:val="20"/>
      <w:szCs w:val="20"/>
    </w:rPr>
  </w:style>
  <w:style w:type="character" w:customStyle="1" w:styleId="CommentTextChar">
    <w:name w:val="Comment Text Char"/>
    <w:basedOn w:val="DefaultParagraphFont"/>
    <w:link w:val="CommentText"/>
    <w:rsid w:val="00C80B44"/>
  </w:style>
  <w:style w:type="paragraph" w:styleId="CommentSubject">
    <w:name w:val="annotation subject"/>
    <w:basedOn w:val="CommentText"/>
    <w:next w:val="CommentText"/>
    <w:link w:val="CommentSubjectChar"/>
    <w:rsid w:val="00C80B44"/>
    <w:rPr>
      <w:b/>
      <w:bCs/>
    </w:rPr>
  </w:style>
  <w:style w:type="character" w:customStyle="1" w:styleId="CommentSubjectChar">
    <w:name w:val="Comment Subject Char"/>
    <w:basedOn w:val="CommentTextChar"/>
    <w:link w:val="CommentSubject"/>
    <w:rsid w:val="00C80B44"/>
    <w:rPr>
      <w:b/>
      <w:bCs/>
    </w:rPr>
  </w:style>
  <w:style w:type="paragraph" w:styleId="ListParagraph">
    <w:name w:val="List Paragraph"/>
    <w:basedOn w:val="Normal"/>
    <w:uiPriority w:val="34"/>
    <w:qFormat/>
    <w:rsid w:val="00C80B44"/>
    <w:pPr>
      <w:ind w:left="720"/>
    </w:pPr>
  </w:style>
  <w:style w:type="paragraph" w:styleId="Header">
    <w:name w:val="header"/>
    <w:basedOn w:val="Normal"/>
    <w:link w:val="HeaderChar"/>
    <w:uiPriority w:val="99"/>
    <w:rsid w:val="006E0C7E"/>
    <w:pPr>
      <w:tabs>
        <w:tab w:val="center" w:pos="4680"/>
        <w:tab w:val="right" w:pos="9360"/>
      </w:tabs>
    </w:pPr>
  </w:style>
  <w:style w:type="character" w:customStyle="1" w:styleId="HeaderChar">
    <w:name w:val="Header Char"/>
    <w:basedOn w:val="DefaultParagraphFont"/>
    <w:link w:val="Header"/>
    <w:uiPriority w:val="99"/>
    <w:rsid w:val="006E0C7E"/>
    <w:rPr>
      <w:sz w:val="24"/>
      <w:szCs w:val="24"/>
    </w:rPr>
  </w:style>
  <w:style w:type="paragraph" w:styleId="Footer">
    <w:name w:val="footer"/>
    <w:basedOn w:val="Normal"/>
    <w:link w:val="FooterChar"/>
    <w:rsid w:val="006E0C7E"/>
    <w:pPr>
      <w:tabs>
        <w:tab w:val="center" w:pos="4680"/>
        <w:tab w:val="right" w:pos="9360"/>
      </w:tabs>
    </w:pPr>
  </w:style>
  <w:style w:type="character" w:customStyle="1" w:styleId="FooterChar">
    <w:name w:val="Footer Char"/>
    <w:basedOn w:val="DefaultParagraphFont"/>
    <w:link w:val="Footer"/>
    <w:rsid w:val="006E0C7E"/>
    <w:rPr>
      <w:sz w:val="24"/>
      <w:szCs w:val="24"/>
    </w:rPr>
  </w:style>
  <w:style w:type="character" w:customStyle="1" w:styleId="PlainTextChar">
    <w:name w:val="Plain Text Char"/>
    <w:basedOn w:val="DefaultParagraphFont"/>
    <w:link w:val="PlainText"/>
    <w:uiPriority w:val="99"/>
    <w:rsid w:val="00DC3C1E"/>
    <w:rPr>
      <w:rFonts w:ascii="Courier New" w:hAnsi="Courier New" w:cs="Courier New"/>
    </w:rPr>
  </w:style>
  <w:style w:type="paragraph" w:styleId="NormalWeb">
    <w:name w:val="Normal (Web)"/>
    <w:basedOn w:val="Normal"/>
    <w:uiPriority w:val="99"/>
    <w:unhideWhenUsed/>
    <w:rsid w:val="00557FF0"/>
    <w:pPr>
      <w:spacing w:before="100" w:beforeAutospacing="1" w:after="100" w:afterAutospacing="1"/>
    </w:pPr>
  </w:style>
  <w:style w:type="character" w:customStyle="1" w:styleId="Heading1Char">
    <w:name w:val="Heading 1 Char"/>
    <w:basedOn w:val="DefaultParagraphFont"/>
    <w:link w:val="Heading1"/>
    <w:rsid w:val="00015CE2"/>
    <w:rPr>
      <w:rFonts w:asciiTheme="majorHAnsi" w:eastAsiaTheme="majorEastAsia" w:hAnsiTheme="majorHAnsi" w:cstheme="majorBidi"/>
      <w:color w:val="365F91" w:themeColor="accent1" w:themeShade="BF"/>
      <w:sz w:val="32"/>
      <w:szCs w:val="32"/>
    </w:rPr>
  </w:style>
  <w:style w:type="paragraph" w:customStyle="1" w:styleId="TableText">
    <w:name w:val="TableText"/>
    <w:basedOn w:val="NormalWeb"/>
    <w:qFormat/>
    <w:rsid w:val="00586F2B"/>
    <w:pPr>
      <w:spacing w:before="0" w:beforeAutospacing="0" w:after="0" w:afterAutospacing="0"/>
    </w:pPr>
    <w:rPr>
      <w:rFonts w:ascii="Avenir" w:hAnsi="Avenir"/>
      <w:color w:val="000000"/>
      <w:szCs w:val="22"/>
    </w:rPr>
  </w:style>
  <w:style w:type="character" w:customStyle="1" w:styleId="Heading2Char">
    <w:name w:val="Heading 2 Char"/>
    <w:basedOn w:val="DefaultParagraphFont"/>
    <w:link w:val="Heading2"/>
    <w:rsid w:val="00586F2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DD1570"/>
    <w:rPr>
      <w:rFonts w:ascii="Avenir Next" w:hAnsi="Avenir Next"/>
      <w:b/>
      <w:i/>
      <w:sz w:val="22"/>
      <w:szCs w:val="22"/>
    </w:rPr>
  </w:style>
  <w:style w:type="paragraph" w:styleId="NoSpacing">
    <w:name w:val="No Spacing"/>
    <w:uiPriority w:val="1"/>
    <w:qFormat/>
    <w:rsid w:val="00A92AD3"/>
    <w:rPr>
      <w:rFonts w:ascii="Charter Roman" w:hAnsi="Charter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0810">
      <w:bodyDiv w:val="1"/>
      <w:marLeft w:val="0"/>
      <w:marRight w:val="0"/>
      <w:marTop w:val="0"/>
      <w:marBottom w:val="0"/>
      <w:divBdr>
        <w:top w:val="none" w:sz="0" w:space="0" w:color="auto"/>
        <w:left w:val="none" w:sz="0" w:space="0" w:color="auto"/>
        <w:bottom w:val="none" w:sz="0" w:space="0" w:color="auto"/>
        <w:right w:val="none" w:sz="0" w:space="0" w:color="auto"/>
      </w:divBdr>
    </w:div>
    <w:div w:id="498932210">
      <w:bodyDiv w:val="1"/>
      <w:marLeft w:val="0"/>
      <w:marRight w:val="0"/>
      <w:marTop w:val="0"/>
      <w:marBottom w:val="0"/>
      <w:divBdr>
        <w:top w:val="none" w:sz="0" w:space="0" w:color="auto"/>
        <w:left w:val="none" w:sz="0" w:space="0" w:color="auto"/>
        <w:bottom w:val="none" w:sz="0" w:space="0" w:color="auto"/>
        <w:right w:val="none" w:sz="0" w:space="0" w:color="auto"/>
      </w:divBdr>
    </w:div>
    <w:div w:id="499077890">
      <w:bodyDiv w:val="1"/>
      <w:marLeft w:val="0"/>
      <w:marRight w:val="0"/>
      <w:marTop w:val="0"/>
      <w:marBottom w:val="0"/>
      <w:divBdr>
        <w:top w:val="none" w:sz="0" w:space="0" w:color="auto"/>
        <w:left w:val="none" w:sz="0" w:space="0" w:color="auto"/>
        <w:bottom w:val="none" w:sz="0" w:space="0" w:color="auto"/>
        <w:right w:val="none" w:sz="0" w:space="0" w:color="auto"/>
      </w:divBdr>
    </w:div>
    <w:div w:id="505632257">
      <w:bodyDiv w:val="1"/>
      <w:marLeft w:val="0"/>
      <w:marRight w:val="0"/>
      <w:marTop w:val="0"/>
      <w:marBottom w:val="0"/>
      <w:divBdr>
        <w:top w:val="none" w:sz="0" w:space="0" w:color="auto"/>
        <w:left w:val="none" w:sz="0" w:space="0" w:color="auto"/>
        <w:bottom w:val="none" w:sz="0" w:space="0" w:color="auto"/>
        <w:right w:val="none" w:sz="0" w:space="0" w:color="auto"/>
      </w:divBdr>
    </w:div>
    <w:div w:id="690684299">
      <w:bodyDiv w:val="1"/>
      <w:marLeft w:val="0"/>
      <w:marRight w:val="0"/>
      <w:marTop w:val="0"/>
      <w:marBottom w:val="0"/>
      <w:divBdr>
        <w:top w:val="none" w:sz="0" w:space="0" w:color="auto"/>
        <w:left w:val="none" w:sz="0" w:space="0" w:color="auto"/>
        <w:bottom w:val="none" w:sz="0" w:space="0" w:color="auto"/>
        <w:right w:val="none" w:sz="0" w:space="0" w:color="auto"/>
      </w:divBdr>
    </w:div>
    <w:div w:id="754398765">
      <w:bodyDiv w:val="1"/>
      <w:marLeft w:val="0"/>
      <w:marRight w:val="0"/>
      <w:marTop w:val="0"/>
      <w:marBottom w:val="0"/>
      <w:divBdr>
        <w:top w:val="none" w:sz="0" w:space="0" w:color="auto"/>
        <w:left w:val="none" w:sz="0" w:space="0" w:color="auto"/>
        <w:bottom w:val="none" w:sz="0" w:space="0" w:color="auto"/>
        <w:right w:val="none" w:sz="0" w:space="0" w:color="auto"/>
      </w:divBdr>
    </w:div>
    <w:div w:id="780228111">
      <w:bodyDiv w:val="1"/>
      <w:marLeft w:val="0"/>
      <w:marRight w:val="0"/>
      <w:marTop w:val="0"/>
      <w:marBottom w:val="0"/>
      <w:divBdr>
        <w:top w:val="none" w:sz="0" w:space="0" w:color="auto"/>
        <w:left w:val="none" w:sz="0" w:space="0" w:color="auto"/>
        <w:bottom w:val="none" w:sz="0" w:space="0" w:color="auto"/>
        <w:right w:val="none" w:sz="0" w:space="0" w:color="auto"/>
      </w:divBdr>
    </w:div>
    <w:div w:id="964458716">
      <w:bodyDiv w:val="1"/>
      <w:marLeft w:val="0"/>
      <w:marRight w:val="0"/>
      <w:marTop w:val="0"/>
      <w:marBottom w:val="0"/>
      <w:divBdr>
        <w:top w:val="none" w:sz="0" w:space="0" w:color="auto"/>
        <w:left w:val="none" w:sz="0" w:space="0" w:color="auto"/>
        <w:bottom w:val="none" w:sz="0" w:space="0" w:color="auto"/>
        <w:right w:val="none" w:sz="0" w:space="0" w:color="auto"/>
      </w:divBdr>
    </w:div>
    <w:div w:id="1248614689">
      <w:bodyDiv w:val="1"/>
      <w:marLeft w:val="0"/>
      <w:marRight w:val="0"/>
      <w:marTop w:val="0"/>
      <w:marBottom w:val="0"/>
      <w:divBdr>
        <w:top w:val="none" w:sz="0" w:space="0" w:color="auto"/>
        <w:left w:val="none" w:sz="0" w:space="0" w:color="auto"/>
        <w:bottom w:val="none" w:sz="0" w:space="0" w:color="auto"/>
        <w:right w:val="none" w:sz="0" w:space="0" w:color="auto"/>
      </w:divBdr>
    </w:div>
    <w:div w:id="1368141650">
      <w:bodyDiv w:val="1"/>
      <w:marLeft w:val="0"/>
      <w:marRight w:val="0"/>
      <w:marTop w:val="0"/>
      <w:marBottom w:val="0"/>
      <w:divBdr>
        <w:top w:val="none" w:sz="0" w:space="0" w:color="auto"/>
        <w:left w:val="none" w:sz="0" w:space="0" w:color="auto"/>
        <w:bottom w:val="none" w:sz="0" w:space="0" w:color="auto"/>
        <w:right w:val="none" w:sz="0" w:space="0" w:color="auto"/>
      </w:divBdr>
    </w:div>
    <w:div w:id="1445881380">
      <w:bodyDiv w:val="1"/>
      <w:marLeft w:val="0"/>
      <w:marRight w:val="0"/>
      <w:marTop w:val="0"/>
      <w:marBottom w:val="0"/>
      <w:divBdr>
        <w:top w:val="none" w:sz="0" w:space="0" w:color="auto"/>
        <w:left w:val="none" w:sz="0" w:space="0" w:color="auto"/>
        <w:bottom w:val="none" w:sz="0" w:space="0" w:color="auto"/>
        <w:right w:val="none" w:sz="0" w:space="0" w:color="auto"/>
      </w:divBdr>
      <w:divsChild>
        <w:div w:id="513610912">
          <w:marLeft w:val="0"/>
          <w:marRight w:val="0"/>
          <w:marTop w:val="0"/>
          <w:marBottom w:val="0"/>
          <w:divBdr>
            <w:top w:val="none" w:sz="0" w:space="0" w:color="auto"/>
            <w:left w:val="none" w:sz="0" w:space="0" w:color="auto"/>
            <w:bottom w:val="none" w:sz="0" w:space="0" w:color="auto"/>
            <w:right w:val="none" w:sz="0" w:space="0" w:color="auto"/>
          </w:divBdr>
        </w:div>
      </w:divsChild>
    </w:div>
    <w:div w:id="1565338415">
      <w:bodyDiv w:val="1"/>
      <w:marLeft w:val="0"/>
      <w:marRight w:val="0"/>
      <w:marTop w:val="0"/>
      <w:marBottom w:val="0"/>
      <w:divBdr>
        <w:top w:val="none" w:sz="0" w:space="0" w:color="auto"/>
        <w:left w:val="none" w:sz="0" w:space="0" w:color="auto"/>
        <w:bottom w:val="none" w:sz="0" w:space="0" w:color="auto"/>
        <w:right w:val="none" w:sz="0" w:space="0" w:color="auto"/>
      </w:divBdr>
    </w:div>
    <w:div w:id="1931967110">
      <w:bodyDiv w:val="1"/>
      <w:marLeft w:val="0"/>
      <w:marRight w:val="0"/>
      <w:marTop w:val="0"/>
      <w:marBottom w:val="0"/>
      <w:divBdr>
        <w:top w:val="none" w:sz="0" w:space="0" w:color="auto"/>
        <w:left w:val="none" w:sz="0" w:space="0" w:color="auto"/>
        <w:bottom w:val="none" w:sz="0" w:space="0" w:color="auto"/>
        <w:right w:val="none" w:sz="0" w:space="0" w:color="auto"/>
      </w:divBdr>
    </w:div>
    <w:div w:id="197043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ED1DA5D14862940A4D3FB39F08F32AF" ma:contentTypeVersion="31" ma:contentTypeDescription="Create a new document." ma:contentTypeScope="" ma:versionID="2dddf40935781ae043e8f1d54d87e8eb">
  <xsd:schema xmlns:xsd="http://www.w3.org/2001/XMLSchema" xmlns:xs="http://www.w3.org/2001/XMLSchema" xmlns:p="http://schemas.microsoft.com/office/2006/metadata/properties" xmlns:ns2="ca7553f2-9f1a-4130-b34a-0b5cdf5c7c8d" xmlns:ns3="b0586c53-9fcb-45dd-8f51-74e828e757c2" targetNamespace="http://schemas.microsoft.com/office/2006/metadata/properties" ma:root="true" ma:fieldsID="e425d80cbc81a484fe4d70946fea820c" ns2:_="" ns3:_="">
    <xsd:import namespace="ca7553f2-9f1a-4130-b34a-0b5cdf5c7c8d"/>
    <xsd:import namespace="b0586c53-9fcb-45dd-8f51-74e828e757c2"/>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553f2-9f1a-4130-b34a-0b5cdf5c7c8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586c53-9fcb-45dd-8f51-74e828e757c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faultSectionNames xmlns="ca7553f2-9f1a-4130-b34a-0b5cdf5c7c8d" xsi:nil="true"/>
    <Invited_Members xmlns="ca7553f2-9f1a-4130-b34a-0b5cdf5c7c8d" xsi:nil="true"/>
    <TeamsChannelId xmlns="ca7553f2-9f1a-4130-b34a-0b5cdf5c7c8d" xsi:nil="true"/>
    <Invited_Leaders xmlns="ca7553f2-9f1a-4130-b34a-0b5cdf5c7c8d" xsi:nil="true"/>
    <Templates xmlns="ca7553f2-9f1a-4130-b34a-0b5cdf5c7c8d" xsi:nil="true"/>
    <Members xmlns="ca7553f2-9f1a-4130-b34a-0b5cdf5c7c8d">
      <UserInfo>
        <DisplayName/>
        <AccountId xsi:nil="true"/>
        <AccountType/>
      </UserInfo>
    </Members>
    <Member_Groups xmlns="ca7553f2-9f1a-4130-b34a-0b5cdf5c7c8d">
      <UserInfo>
        <DisplayName/>
        <AccountId xsi:nil="true"/>
        <AccountType/>
      </UserInfo>
    </Member_Groups>
    <Is_Collaboration_Space_Locked xmlns="ca7553f2-9f1a-4130-b34a-0b5cdf5c7c8d" xsi:nil="true"/>
    <Leaders xmlns="ca7553f2-9f1a-4130-b34a-0b5cdf5c7c8d">
      <UserInfo>
        <DisplayName/>
        <AccountId xsi:nil="true"/>
        <AccountType/>
      </UserInfo>
    </Leaders>
    <Distribution_Groups xmlns="ca7553f2-9f1a-4130-b34a-0b5cdf5c7c8d" xsi:nil="true"/>
    <Self_Registration_Enabled xmlns="ca7553f2-9f1a-4130-b34a-0b5cdf5c7c8d" xsi:nil="true"/>
    <LMS_Mappings xmlns="ca7553f2-9f1a-4130-b34a-0b5cdf5c7c8d" xsi:nil="true"/>
    <CultureName xmlns="ca7553f2-9f1a-4130-b34a-0b5cdf5c7c8d" xsi:nil="true"/>
    <AppVersion xmlns="ca7553f2-9f1a-4130-b34a-0b5cdf5c7c8d" xsi:nil="true"/>
    <NotebookType xmlns="ca7553f2-9f1a-4130-b34a-0b5cdf5c7c8d" xsi:nil="true"/>
    <FolderType xmlns="ca7553f2-9f1a-4130-b34a-0b5cdf5c7c8d" xsi:nil="true"/>
    <IsNotebookLocked xmlns="ca7553f2-9f1a-4130-b34a-0b5cdf5c7c8d" xsi:nil="true"/>
    <Owner xmlns="ca7553f2-9f1a-4130-b34a-0b5cdf5c7c8d">
      <UserInfo>
        <DisplayName/>
        <AccountId xsi:nil="true"/>
        <AccountType/>
      </UserInfo>
    </Owner>
    <Math_Settings xmlns="ca7553f2-9f1a-4130-b34a-0b5cdf5c7c8d" xsi:nil="true"/>
    <Has_Leaders_Only_SectionGroup xmlns="ca7553f2-9f1a-4130-b34a-0b5cdf5c7c8d" xsi:nil="true"/>
    <SharedWithUsers xmlns="b0586c53-9fcb-45dd-8f51-74e828e757c2">
      <UserInfo>
        <DisplayName/>
        <AccountId xsi:nil="true"/>
        <AccountType/>
      </UserInfo>
    </SharedWithUsers>
  </documentManagement>
</p:properties>
</file>

<file path=customXml/itemProps1.xml><?xml version="1.0" encoding="utf-8"?>
<ds:datastoreItem xmlns:ds="http://schemas.openxmlformats.org/officeDocument/2006/customXml" ds:itemID="{1105BEFD-C619-234A-B9D2-6DDBA52D596C}">
  <ds:schemaRefs>
    <ds:schemaRef ds:uri="http://schemas.openxmlformats.org/officeDocument/2006/bibliography"/>
  </ds:schemaRefs>
</ds:datastoreItem>
</file>

<file path=customXml/itemProps2.xml><?xml version="1.0" encoding="utf-8"?>
<ds:datastoreItem xmlns:ds="http://schemas.openxmlformats.org/officeDocument/2006/customXml" ds:itemID="{5B797258-3ECB-490B-9F38-517BB4B8FE90}"/>
</file>

<file path=customXml/itemProps3.xml><?xml version="1.0" encoding="utf-8"?>
<ds:datastoreItem xmlns:ds="http://schemas.openxmlformats.org/officeDocument/2006/customXml" ds:itemID="{5777C35D-9CF8-438A-96B6-8354D6946453}"/>
</file>

<file path=customXml/itemProps4.xml><?xml version="1.0" encoding="utf-8"?>
<ds:datastoreItem xmlns:ds="http://schemas.openxmlformats.org/officeDocument/2006/customXml" ds:itemID="{928E41FB-531B-4C5B-A3B1-1BB0A1B18DDA}"/>
</file>

<file path=docProps/app.xml><?xml version="1.0" encoding="utf-8"?>
<Properties xmlns="http://schemas.openxmlformats.org/officeDocument/2006/extended-properties" xmlns:vt="http://schemas.openxmlformats.org/officeDocument/2006/docPropsVTypes">
  <Template>Normal.dotm</Template>
  <TotalTime>1</TotalTime>
  <Pages>8</Pages>
  <Words>2271</Words>
  <Characters>13606</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Annual Report Template</vt:lpstr>
    </vt:vector>
  </TitlesOfParts>
  <Company>The University of Alabama</Company>
  <LinksUpToDate>false</LinksUpToDate>
  <CharactersWithSpaces>15846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David</dc:creator>
  <cp:keywords/>
  <dc:description/>
  <cp:lastModifiedBy>Burk, Brooke N</cp:lastModifiedBy>
  <cp:revision>2</cp:revision>
  <cp:lastPrinted>2017-09-28T21:07:00Z</cp:lastPrinted>
  <dcterms:created xsi:type="dcterms:W3CDTF">2021-11-23T16:22:00Z</dcterms:created>
  <dcterms:modified xsi:type="dcterms:W3CDTF">2021-11-23T16:22:00Z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0x0101005ED1DA5D14862940A4D3FB39F08F32AF</vt:lpwstr>
  </property>
  <property fmtid="{D5CDD505-2E9C-101B-9397-08002B2CF9AE}" pid="3" name="Order">
    <vt:r8>406800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