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04D40" w:rsidR="00A71BE0" w:rsidP="00410013" w:rsidRDefault="00A71BE0" w14:paraId="321BACB7" w14:textId="77777777">
      <w:pPr>
        <w:pStyle w:val="PlainText"/>
        <w:tabs>
          <w:tab w:val="left" w:pos="360"/>
        </w:tabs>
        <w:ind w:left="360" w:hanging="360"/>
        <w:jc w:val="center"/>
        <w:outlineLvl w:val="0"/>
        <w:rPr>
          <w:rFonts w:ascii="Times New Roman" w:hAnsi="Times New Roman" w:cs="Times New Roman"/>
          <w:b/>
          <w:sz w:val="22"/>
          <w:szCs w:val="22"/>
        </w:rPr>
      </w:pPr>
      <w:bookmarkStart w:name="_GoBack" w:id="0"/>
      <w:bookmarkEnd w:id="0"/>
      <w:r w:rsidRPr="00904D40">
        <w:rPr>
          <w:rFonts w:ascii="Times New Roman" w:hAnsi="Times New Roman" w:cs="Times New Roman"/>
          <w:b/>
          <w:sz w:val="22"/>
          <w:szCs w:val="22"/>
        </w:rPr>
        <w:t>Co-Curricular/Service Unit &amp; Programs</w:t>
      </w:r>
    </w:p>
    <w:p w:rsidR="003B3C54" w:rsidP="00410013" w:rsidRDefault="004C5706" w14:paraId="6ABDB5F4" w14:textId="026D20FE">
      <w:pPr>
        <w:pStyle w:val="PlainText"/>
        <w:tabs>
          <w:tab w:val="left" w:pos="360"/>
        </w:tabs>
        <w:ind w:left="360" w:hanging="360"/>
        <w:jc w:val="center"/>
        <w:outlineLvl w:val="0"/>
        <w:rPr>
          <w:rFonts w:ascii="Times New Roman" w:hAnsi="Times New Roman" w:cs="Times New Roman"/>
          <w:sz w:val="22"/>
          <w:szCs w:val="22"/>
        </w:rPr>
      </w:pPr>
      <w:r w:rsidRPr="2F9BD576" w:rsidR="004C5706">
        <w:rPr>
          <w:rFonts w:ascii="Times New Roman" w:hAnsi="Times New Roman" w:cs="Times New Roman"/>
          <w:sz w:val="22"/>
          <w:szCs w:val="22"/>
        </w:rPr>
        <w:t xml:space="preserve"> </w:t>
      </w:r>
      <w:r w:rsidRPr="2F9BD576" w:rsidR="004C5706">
        <w:rPr>
          <w:rFonts w:ascii="Times New Roman" w:hAnsi="Times New Roman" w:cs="Times New Roman"/>
          <w:b w:val="1"/>
          <w:bCs w:val="1"/>
          <w:sz w:val="22"/>
          <w:szCs w:val="22"/>
        </w:rPr>
        <w:t xml:space="preserve">Annual Report </w:t>
      </w:r>
      <w:r w:rsidRPr="2F9BD576" w:rsidR="004C5706">
        <w:rPr>
          <w:rFonts w:ascii="Times New Roman" w:hAnsi="Times New Roman" w:cs="Times New Roman"/>
          <w:b w:val="1"/>
          <w:bCs w:val="1"/>
          <w:sz w:val="22"/>
          <w:szCs w:val="22"/>
        </w:rPr>
        <w:t>TEMPLATE</w:t>
      </w:r>
      <w:r w:rsidRPr="2F9BD576" w:rsidR="008406A6">
        <w:rPr>
          <w:rFonts w:ascii="Times New Roman" w:hAnsi="Times New Roman" w:cs="Times New Roman"/>
          <w:b w:val="1"/>
          <w:bCs w:val="1"/>
          <w:sz w:val="22"/>
          <w:szCs w:val="22"/>
        </w:rPr>
        <w:t xml:space="preserve"> </w:t>
      </w:r>
    </w:p>
    <w:p w:rsidR="00A71BE0" w:rsidP="00410013" w:rsidRDefault="00A71BE0" w14:paraId="0AFA4ACE" w14:textId="77777777">
      <w:pPr>
        <w:pStyle w:val="PlainText"/>
        <w:tabs>
          <w:tab w:val="left" w:pos="360"/>
        </w:tabs>
        <w:ind w:left="360" w:hanging="360"/>
        <w:jc w:val="center"/>
        <w:outlineLvl w:val="0"/>
        <w:rPr>
          <w:rFonts w:ascii="Times New Roman" w:hAnsi="Times New Roman" w:cs="Times New Roman"/>
          <w:sz w:val="22"/>
          <w:szCs w:val="22"/>
        </w:rPr>
      </w:pPr>
    </w:p>
    <w:p w:rsidR="004C5706" w:rsidP="00410013" w:rsidRDefault="004C5706" w14:paraId="3F14694C" w14:textId="77777777">
      <w:pPr>
        <w:pStyle w:val="PlainText"/>
        <w:tabs>
          <w:tab w:val="left" w:pos="360"/>
        </w:tabs>
        <w:ind w:left="360" w:hanging="360"/>
        <w:jc w:val="center"/>
        <w:outlineLvl w:val="0"/>
        <w:rPr>
          <w:rFonts w:ascii="Times New Roman" w:hAnsi="Times New Roman" w:cs="Times New Roman"/>
          <w:sz w:val="22"/>
          <w:szCs w:val="22"/>
        </w:rPr>
      </w:pPr>
      <w:r>
        <w:rPr>
          <w:rFonts w:ascii="Times New Roman" w:hAnsi="Times New Roman" w:cs="Times New Roman"/>
          <w:sz w:val="22"/>
          <w:szCs w:val="22"/>
        </w:rPr>
        <w:t>Minnesota State University, Mankato</w:t>
      </w:r>
    </w:p>
    <w:p w:rsidRPr="005B073A" w:rsidR="004C5706" w:rsidP="00410013" w:rsidRDefault="004C5706" w14:paraId="0D1865C0" w14:textId="77777777">
      <w:pPr>
        <w:pStyle w:val="PlainText"/>
        <w:tabs>
          <w:tab w:val="left" w:pos="360"/>
        </w:tabs>
        <w:ind w:left="360" w:hanging="360"/>
        <w:jc w:val="center"/>
        <w:outlineLvl w:val="0"/>
        <w:rPr>
          <w:rFonts w:ascii="Times New Roman" w:hAnsi="Times New Roman" w:cs="Times New Roman"/>
          <w:sz w:val="22"/>
          <w:szCs w:val="22"/>
        </w:rPr>
      </w:pPr>
    </w:p>
    <w:p w:rsidR="00BF0893" w:rsidP="00BF0893" w:rsidRDefault="003F527E" w14:paraId="1932BBA1" w14:textId="711D7F91">
      <w:pPr>
        <w:pStyle w:val="PlainText"/>
        <w:tabs>
          <w:tab w:val="left" w:pos="360"/>
        </w:tabs>
        <w:ind w:left="360" w:hanging="360"/>
        <w:outlineLvl w:val="0"/>
        <w:rPr>
          <w:rFonts w:ascii="Times New Roman" w:hAnsi="Times New Roman" w:cs="Times New Roman"/>
          <w:sz w:val="22"/>
          <w:szCs w:val="22"/>
        </w:rPr>
      </w:pPr>
      <w:r>
        <w:rPr>
          <w:rFonts w:ascii="Times New Roman" w:hAnsi="Times New Roman" w:cs="Times New Roman"/>
          <w:sz w:val="22"/>
          <w:szCs w:val="22"/>
        </w:rPr>
        <w:t>Division</w:t>
      </w:r>
      <w:r w:rsidR="00BF0893">
        <w:rPr>
          <w:rFonts w:ascii="Times New Roman" w:hAnsi="Times New Roman" w:cs="Times New Roman"/>
          <w:sz w:val="22"/>
          <w:szCs w:val="22"/>
        </w:rPr>
        <w:t xml:space="preserve"> </w:t>
      </w:r>
      <w:r w:rsidR="00527A1A">
        <w:rPr>
          <w:rFonts w:ascii="Times New Roman" w:hAnsi="Times New Roman" w:cs="Times New Roman"/>
          <w:sz w:val="22"/>
          <w:szCs w:val="22"/>
        </w:rPr>
        <w:tab/>
      </w:r>
      <w:r w:rsidRPr="00BF0893" w:rsidR="00BF0893">
        <w:rPr>
          <w:rFonts w:ascii="Times New Roman" w:hAnsi="Times New Roman" w:cs="Times New Roman"/>
          <w:sz w:val="22"/>
          <w:szCs w:val="22"/>
          <w:u w:val="single"/>
        </w:rPr>
        <w:t>Academic Affairs</w:t>
      </w:r>
      <w:r>
        <w:rPr>
          <w:rFonts w:ascii="Times New Roman" w:hAnsi="Times New Roman" w:cs="Times New Roman"/>
          <w:sz w:val="22"/>
          <w:szCs w:val="22"/>
        </w:rPr>
        <w:t xml:space="preserve"> </w:t>
      </w:r>
    </w:p>
    <w:p w:rsidR="00BF0893" w:rsidP="00BF0893" w:rsidRDefault="004C5706" w14:paraId="730DEB3A" w14:textId="5042E9C1">
      <w:pPr>
        <w:pStyle w:val="PlainText"/>
        <w:tabs>
          <w:tab w:val="left" w:pos="360"/>
        </w:tabs>
        <w:ind w:left="360" w:hanging="360"/>
        <w:outlineLvl w:val="0"/>
        <w:rPr>
          <w:rFonts w:ascii="Times New Roman" w:hAnsi="Times New Roman" w:cs="Times New Roman"/>
          <w:sz w:val="22"/>
          <w:szCs w:val="22"/>
        </w:rPr>
      </w:pPr>
      <w:r>
        <w:rPr>
          <w:rFonts w:ascii="Times New Roman" w:hAnsi="Times New Roman" w:cs="Times New Roman"/>
          <w:sz w:val="22"/>
          <w:szCs w:val="22"/>
        </w:rPr>
        <w:t>Unit/Pr</w:t>
      </w:r>
      <w:r w:rsidR="00904D40">
        <w:rPr>
          <w:rFonts w:ascii="Times New Roman" w:hAnsi="Times New Roman" w:cs="Times New Roman"/>
          <w:sz w:val="22"/>
          <w:szCs w:val="22"/>
        </w:rPr>
        <w:t>ogram</w:t>
      </w:r>
      <w:r w:rsidRPr="00527A1A" w:rsidR="00527A1A">
        <w:rPr>
          <w:rFonts w:ascii="Times New Roman" w:hAnsi="Times New Roman" w:cs="Times New Roman"/>
          <w:sz w:val="22"/>
          <w:szCs w:val="22"/>
        </w:rPr>
        <w:tab/>
      </w:r>
      <w:r w:rsidR="00BF0893">
        <w:rPr>
          <w:rFonts w:ascii="Times New Roman" w:hAnsi="Times New Roman" w:cs="Times New Roman"/>
          <w:sz w:val="22"/>
          <w:szCs w:val="22"/>
          <w:u w:val="single"/>
        </w:rPr>
        <w:t>Center for Excellence in Teaching &amp; Learning (CETL)</w:t>
      </w:r>
      <w:r w:rsidR="00904D40">
        <w:rPr>
          <w:rFonts w:ascii="Times New Roman" w:hAnsi="Times New Roman" w:cs="Times New Roman"/>
          <w:sz w:val="22"/>
          <w:szCs w:val="22"/>
        </w:rPr>
        <w:t xml:space="preserve">   </w:t>
      </w:r>
    </w:p>
    <w:p w:rsidR="004C5706" w:rsidP="00BF0893" w:rsidRDefault="00904D40" w14:paraId="7C0421C1" w14:textId="730F580B">
      <w:pPr>
        <w:pStyle w:val="PlainText"/>
        <w:tabs>
          <w:tab w:val="left" w:pos="360"/>
        </w:tabs>
        <w:ind w:left="360" w:hanging="360"/>
        <w:outlineLvl w:val="0"/>
        <w:rPr>
          <w:rFonts w:ascii="Times New Roman" w:hAnsi="Times New Roman" w:cs="Times New Roman"/>
          <w:sz w:val="22"/>
          <w:szCs w:val="22"/>
        </w:rPr>
      </w:pPr>
      <w:r>
        <w:rPr>
          <w:rFonts w:ascii="Times New Roman" w:hAnsi="Times New Roman" w:cs="Times New Roman"/>
          <w:sz w:val="22"/>
          <w:szCs w:val="22"/>
        </w:rPr>
        <w:t>Date</w:t>
      </w:r>
      <w:r w:rsidR="00BF0893">
        <w:rPr>
          <w:rFonts w:ascii="Times New Roman" w:hAnsi="Times New Roman" w:cs="Times New Roman"/>
          <w:sz w:val="22"/>
          <w:szCs w:val="22"/>
        </w:rPr>
        <w:t xml:space="preserve"> </w:t>
      </w:r>
      <w:r w:rsidR="00527A1A">
        <w:rPr>
          <w:rFonts w:ascii="Times New Roman" w:hAnsi="Times New Roman" w:cs="Times New Roman"/>
          <w:sz w:val="22"/>
          <w:szCs w:val="22"/>
        </w:rPr>
        <w:tab/>
      </w:r>
      <w:r w:rsidR="00527A1A">
        <w:rPr>
          <w:rFonts w:ascii="Times New Roman" w:hAnsi="Times New Roman" w:cs="Times New Roman"/>
          <w:sz w:val="22"/>
          <w:szCs w:val="22"/>
        </w:rPr>
        <w:tab/>
      </w:r>
      <w:r w:rsidRPr="00BF0893" w:rsidR="00BF0893">
        <w:rPr>
          <w:rFonts w:ascii="Times New Roman" w:hAnsi="Times New Roman" w:cs="Times New Roman"/>
          <w:sz w:val="22"/>
          <w:szCs w:val="22"/>
          <w:u w:val="single"/>
        </w:rPr>
        <w:t>2017-Oct-16</w:t>
      </w:r>
    </w:p>
    <w:p w:rsidRPr="005B073A" w:rsidR="003B3C54" w:rsidP="00FF40E3" w:rsidRDefault="003B3C54" w14:paraId="458FF35B" w14:textId="77777777">
      <w:pPr>
        <w:pStyle w:val="PlainText"/>
        <w:tabs>
          <w:tab w:val="left" w:pos="360"/>
        </w:tabs>
        <w:ind w:left="360" w:hanging="360"/>
        <w:jc w:val="center"/>
        <w:rPr>
          <w:rFonts w:ascii="Times New Roman" w:hAnsi="Times New Roman" w:cs="Times New Roman"/>
          <w:sz w:val="22"/>
          <w:szCs w:val="22"/>
        </w:rPr>
      </w:pPr>
    </w:p>
    <w:p w:rsidR="00E84096" w:rsidP="004C5706" w:rsidRDefault="003B3C54" w14:paraId="3E77C8D8" w14:textId="77777777">
      <w:pPr>
        <w:pStyle w:val="PlainText"/>
        <w:numPr>
          <w:ilvl w:val="0"/>
          <w:numId w:val="5"/>
        </w:numPr>
        <w:tabs>
          <w:tab w:val="left" w:pos="360"/>
        </w:tabs>
        <w:ind w:left="360" w:hanging="360"/>
        <w:rPr>
          <w:rFonts w:ascii="Times New Roman" w:hAnsi="Times New Roman" w:cs="Times New Roman"/>
          <w:sz w:val="22"/>
          <w:szCs w:val="22"/>
        </w:rPr>
      </w:pPr>
      <w:r w:rsidRPr="005B073A">
        <w:rPr>
          <w:rFonts w:ascii="Times New Roman" w:hAnsi="Times New Roman" w:cs="Times New Roman"/>
          <w:sz w:val="24"/>
          <w:szCs w:val="24"/>
        </w:rPr>
        <w:t xml:space="preserve">Executive </w:t>
      </w:r>
      <w:r w:rsidR="00D069CF">
        <w:rPr>
          <w:rFonts w:ascii="Times New Roman" w:hAnsi="Times New Roman" w:cs="Times New Roman"/>
          <w:sz w:val="24"/>
          <w:szCs w:val="24"/>
        </w:rPr>
        <w:t>summary/</w:t>
      </w:r>
      <w:r w:rsidRPr="005B073A">
        <w:rPr>
          <w:rFonts w:ascii="Times New Roman" w:hAnsi="Times New Roman" w:cs="Times New Roman"/>
          <w:sz w:val="24"/>
          <w:szCs w:val="24"/>
        </w:rPr>
        <w:t>reflection:</w:t>
      </w:r>
      <w:r w:rsidRPr="005B073A">
        <w:rPr>
          <w:rFonts w:ascii="Times New Roman" w:hAnsi="Times New Roman" w:cs="Times New Roman"/>
          <w:sz w:val="22"/>
          <w:szCs w:val="22"/>
        </w:rPr>
        <w:t xml:space="preserve">  </w:t>
      </w:r>
      <w:r w:rsidR="00FF40E3">
        <w:rPr>
          <w:rFonts w:ascii="Times New Roman" w:hAnsi="Times New Roman" w:cs="Times New Roman"/>
          <w:i/>
          <w:iCs/>
          <w:sz w:val="22"/>
          <w:szCs w:val="22"/>
        </w:rPr>
        <w:t>250-300 words,</w:t>
      </w:r>
      <w:r w:rsidRPr="005B073A">
        <w:rPr>
          <w:rFonts w:ascii="Times New Roman" w:hAnsi="Times New Roman" w:cs="Times New Roman"/>
          <w:i/>
          <w:iCs/>
          <w:sz w:val="22"/>
          <w:szCs w:val="22"/>
        </w:rPr>
        <w:t xml:space="preserve"> paragraph style</w:t>
      </w:r>
      <w:r w:rsidRPr="005B073A" w:rsidR="00090CA7">
        <w:rPr>
          <w:rFonts w:ascii="Times New Roman" w:hAnsi="Times New Roman" w:cs="Times New Roman"/>
          <w:i/>
          <w:iCs/>
          <w:sz w:val="22"/>
          <w:szCs w:val="22"/>
        </w:rPr>
        <w:t xml:space="preserve"> </w:t>
      </w:r>
      <w:r w:rsidRPr="005B073A">
        <w:rPr>
          <w:rFonts w:ascii="Times New Roman" w:hAnsi="Times New Roman" w:cs="Times New Roman"/>
          <w:sz w:val="22"/>
          <w:szCs w:val="22"/>
        </w:rPr>
        <w:t xml:space="preserve"> </w:t>
      </w:r>
    </w:p>
    <w:p w:rsidR="00AC4C64" w:rsidP="00AC4C64" w:rsidRDefault="00AC4C64" w14:paraId="322FC111" w14:textId="77777777">
      <w:pPr>
        <w:pStyle w:val="PlainText"/>
        <w:tabs>
          <w:tab w:val="left" w:pos="360"/>
        </w:tabs>
        <w:ind w:left="360"/>
        <w:rPr>
          <w:rFonts w:ascii="Times New Roman" w:hAnsi="Times New Roman" w:cs="Times New Roman"/>
          <w:sz w:val="22"/>
          <w:szCs w:val="22"/>
        </w:rPr>
      </w:pPr>
    </w:p>
    <w:p w:rsidRPr="00BD1502" w:rsidR="00BD1502" w:rsidP="00BD1502" w:rsidRDefault="00AC4C64" w14:paraId="63584BEC" w14:textId="7C708875">
      <w:pPr>
        <w:pStyle w:val="PlainText"/>
        <w:tabs>
          <w:tab w:val="left" w:pos="360"/>
        </w:tabs>
        <w:ind w:left="360"/>
        <w:rPr>
          <w:rFonts w:ascii="Times New Roman" w:hAnsi="Times New Roman" w:cs="Times New Roman"/>
          <w:sz w:val="22"/>
          <w:szCs w:val="22"/>
        </w:rPr>
      </w:pPr>
      <w:r>
        <w:rPr>
          <w:rFonts w:ascii="Times New Roman" w:hAnsi="Times New Roman" w:cs="Times New Roman"/>
          <w:sz w:val="22"/>
          <w:szCs w:val="22"/>
        </w:rPr>
        <w:t>The Center for Excellence in Teaching and Learning</w:t>
      </w:r>
      <w:r w:rsidR="00BD1502">
        <w:rPr>
          <w:rFonts w:ascii="Times New Roman" w:hAnsi="Times New Roman" w:cs="Times New Roman"/>
          <w:sz w:val="22"/>
          <w:szCs w:val="22"/>
        </w:rPr>
        <w:t xml:space="preserve"> (CETL)</w:t>
      </w:r>
      <w:r>
        <w:rPr>
          <w:rFonts w:ascii="Times New Roman" w:hAnsi="Times New Roman" w:cs="Times New Roman"/>
          <w:sz w:val="22"/>
          <w:szCs w:val="22"/>
        </w:rPr>
        <w:t xml:space="preserve"> has supported </w:t>
      </w:r>
      <w:r w:rsidR="00776E33">
        <w:rPr>
          <w:rFonts w:ascii="Times New Roman" w:hAnsi="Times New Roman" w:cs="Times New Roman"/>
          <w:sz w:val="22"/>
          <w:szCs w:val="22"/>
        </w:rPr>
        <w:t xml:space="preserve">faculty </w:t>
      </w:r>
      <w:r>
        <w:rPr>
          <w:rFonts w:ascii="Times New Roman" w:hAnsi="Times New Roman" w:cs="Times New Roman"/>
          <w:sz w:val="22"/>
          <w:szCs w:val="22"/>
        </w:rPr>
        <w:t xml:space="preserve">professional development </w:t>
      </w:r>
      <w:r w:rsidR="00776E33">
        <w:rPr>
          <w:rFonts w:ascii="Times New Roman" w:hAnsi="Times New Roman" w:cs="Times New Roman"/>
          <w:sz w:val="22"/>
          <w:szCs w:val="22"/>
        </w:rPr>
        <w:t xml:space="preserve">at Minnesota State Mankato since </w:t>
      </w:r>
      <w:r w:rsidRPr="00BD1502" w:rsidR="00BD1502">
        <w:rPr>
          <w:rFonts w:ascii="Times New Roman" w:hAnsi="Times New Roman" w:cs="Times New Roman"/>
          <w:sz w:val="22"/>
          <w:szCs w:val="22"/>
        </w:rPr>
        <w:t>the fall of 2002</w:t>
      </w:r>
      <w:r w:rsidR="00BD1502">
        <w:rPr>
          <w:rFonts w:ascii="Times New Roman" w:hAnsi="Times New Roman" w:cs="Times New Roman"/>
          <w:sz w:val="22"/>
          <w:szCs w:val="22"/>
        </w:rPr>
        <w:t xml:space="preserve">. CETL </w:t>
      </w:r>
      <w:r w:rsidRPr="00BD1502" w:rsidR="00BD1502">
        <w:rPr>
          <w:rFonts w:ascii="Times New Roman" w:hAnsi="Times New Roman" w:cs="Times New Roman"/>
          <w:sz w:val="22"/>
          <w:szCs w:val="22"/>
        </w:rPr>
        <w:t>program</w:t>
      </w:r>
      <w:r w:rsidR="00BD1502">
        <w:rPr>
          <w:rFonts w:ascii="Times New Roman" w:hAnsi="Times New Roman" w:cs="Times New Roman"/>
          <w:sz w:val="22"/>
          <w:szCs w:val="22"/>
        </w:rPr>
        <w:t>s</w:t>
      </w:r>
      <w:r w:rsidRPr="00BD1502" w:rsidR="00BD1502">
        <w:rPr>
          <w:rFonts w:ascii="Times New Roman" w:hAnsi="Times New Roman" w:cs="Times New Roman"/>
          <w:sz w:val="22"/>
          <w:szCs w:val="22"/>
        </w:rPr>
        <w:t xml:space="preserve"> </w:t>
      </w:r>
      <w:r w:rsidR="00BD1502">
        <w:rPr>
          <w:rFonts w:ascii="Times New Roman" w:hAnsi="Times New Roman" w:cs="Times New Roman"/>
          <w:sz w:val="22"/>
          <w:szCs w:val="22"/>
        </w:rPr>
        <w:t>are</w:t>
      </w:r>
      <w:r w:rsidRPr="00BD1502" w:rsidR="00BD1502">
        <w:rPr>
          <w:rFonts w:ascii="Times New Roman" w:hAnsi="Times New Roman" w:cs="Times New Roman"/>
          <w:sz w:val="22"/>
          <w:szCs w:val="22"/>
        </w:rPr>
        <w:t xml:space="preserve"> designed to help </w:t>
      </w:r>
      <w:r w:rsidR="00BD1502">
        <w:rPr>
          <w:rFonts w:ascii="Times New Roman" w:hAnsi="Times New Roman" w:cs="Times New Roman"/>
          <w:sz w:val="22"/>
          <w:szCs w:val="22"/>
        </w:rPr>
        <w:t>faculty</w:t>
      </w:r>
      <w:r w:rsidRPr="00BD1502" w:rsidR="00BD1502">
        <w:rPr>
          <w:rFonts w:ascii="Times New Roman" w:hAnsi="Times New Roman" w:cs="Times New Roman"/>
          <w:sz w:val="22"/>
          <w:szCs w:val="22"/>
        </w:rPr>
        <w:t xml:space="preserve"> improve student engagement, design more organized courses, create better student learning outcomes, and enhance </w:t>
      </w:r>
      <w:r w:rsidR="00BD1502">
        <w:rPr>
          <w:rFonts w:ascii="Times New Roman" w:hAnsi="Times New Roman" w:cs="Times New Roman"/>
          <w:sz w:val="22"/>
          <w:szCs w:val="22"/>
        </w:rPr>
        <w:t>their</w:t>
      </w:r>
      <w:r w:rsidRPr="00BD1502" w:rsidR="00BD1502">
        <w:rPr>
          <w:rFonts w:ascii="Times New Roman" w:hAnsi="Times New Roman" w:cs="Times New Roman"/>
          <w:sz w:val="22"/>
          <w:szCs w:val="22"/>
        </w:rPr>
        <w:t xml:space="preserve"> teaching career</w:t>
      </w:r>
      <w:r w:rsidR="00BD1502">
        <w:rPr>
          <w:rFonts w:ascii="Times New Roman" w:hAnsi="Times New Roman" w:cs="Times New Roman"/>
          <w:sz w:val="22"/>
          <w:szCs w:val="22"/>
        </w:rPr>
        <w:t>s</w:t>
      </w:r>
      <w:r w:rsidRPr="00BD1502" w:rsidR="00BD1502">
        <w:rPr>
          <w:rFonts w:ascii="Times New Roman" w:hAnsi="Times New Roman" w:cs="Times New Roman"/>
          <w:sz w:val="22"/>
          <w:szCs w:val="22"/>
        </w:rPr>
        <w:t xml:space="preserve">. Participants in our various faculty groups can find </w:t>
      </w:r>
      <w:proofErr w:type="gramStart"/>
      <w:r w:rsidRPr="00BD1502" w:rsidR="00BD1502">
        <w:rPr>
          <w:rFonts w:ascii="Times New Roman" w:hAnsi="Times New Roman" w:cs="Times New Roman"/>
          <w:sz w:val="22"/>
          <w:szCs w:val="22"/>
        </w:rPr>
        <w:t>support</w:t>
      </w:r>
      <w:proofErr w:type="gramEnd"/>
      <w:r w:rsidRPr="00BD1502" w:rsidR="00BD1502">
        <w:rPr>
          <w:rFonts w:ascii="Times New Roman" w:hAnsi="Times New Roman" w:cs="Times New Roman"/>
          <w:sz w:val="22"/>
          <w:szCs w:val="22"/>
        </w:rPr>
        <w:t xml:space="preserve"> and encouragement while discussing, improving, and developing innovative teaching strategies.</w:t>
      </w:r>
    </w:p>
    <w:p w:rsidRPr="00BD1502" w:rsidR="00BD1502" w:rsidP="00BD1502" w:rsidRDefault="00BD1502" w14:paraId="4D65937F" w14:textId="77777777">
      <w:pPr>
        <w:pStyle w:val="PlainText"/>
        <w:tabs>
          <w:tab w:val="left" w:pos="360"/>
        </w:tabs>
        <w:ind w:left="360"/>
        <w:rPr>
          <w:rFonts w:ascii="Times New Roman" w:hAnsi="Times New Roman" w:cs="Times New Roman"/>
          <w:sz w:val="22"/>
          <w:szCs w:val="22"/>
        </w:rPr>
      </w:pPr>
    </w:p>
    <w:p w:rsidR="00D823EE" w:rsidP="004C5706" w:rsidRDefault="00E911F8" w14:paraId="44EB2918" w14:textId="25ABEB3D">
      <w:pPr>
        <w:pStyle w:val="PlainText"/>
        <w:tabs>
          <w:tab w:val="left" w:pos="360"/>
        </w:tabs>
        <w:ind w:left="360"/>
        <w:rPr>
          <w:rFonts w:ascii="Times New Roman" w:hAnsi="Times New Roman" w:cs="Times New Roman"/>
          <w:sz w:val="22"/>
          <w:szCs w:val="22"/>
        </w:rPr>
      </w:pPr>
      <w:r>
        <w:rPr>
          <w:rFonts w:ascii="Times New Roman" w:hAnsi="Times New Roman" w:cs="Times New Roman"/>
          <w:sz w:val="22"/>
          <w:szCs w:val="22"/>
        </w:rPr>
        <w:t xml:space="preserve">In December 2016, Dr. Patricia Hoffman ended her term as director of CETL. Dr. Jennifer Veltsos began a three-year term in the role starting January 2017. </w:t>
      </w:r>
      <w:r w:rsidR="00D823EE">
        <w:rPr>
          <w:rFonts w:ascii="Times New Roman" w:hAnsi="Times New Roman" w:cs="Times New Roman"/>
          <w:sz w:val="22"/>
          <w:szCs w:val="22"/>
        </w:rPr>
        <w:t>Following the transition, no data was found regarding learning objectives or learner satisfaction. This report is based upon descriptive and anecdotal data only. A new plan for CETL assessment will be proposed for the period covering August 2017 – December 2019.</w:t>
      </w:r>
    </w:p>
    <w:p w:rsidR="008549C3" w:rsidP="004C5706" w:rsidRDefault="008549C3" w14:paraId="7082D698" w14:textId="77777777">
      <w:pPr>
        <w:pStyle w:val="PlainText"/>
        <w:tabs>
          <w:tab w:val="left" w:pos="360"/>
        </w:tabs>
        <w:ind w:left="360"/>
        <w:rPr>
          <w:rFonts w:ascii="Times New Roman" w:hAnsi="Times New Roman" w:cs="Times New Roman"/>
          <w:sz w:val="22"/>
          <w:szCs w:val="22"/>
        </w:rPr>
      </w:pPr>
    </w:p>
    <w:p w:rsidR="006C19E3" w:rsidP="006C19E3" w:rsidRDefault="008549C3" w14:paraId="52ADFF68" w14:textId="77777777">
      <w:pPr>
        <w:pStyle w:val="PlainText"/>
        <w:tabs>
          <w:tab w:val="left" w:pos="360"/>
        </w:tabs>
        <w:ind w:left="360"/>
        <w:rPr>
          <w:rFonts w:ascii="Times New Roman" w:hAnsi="Times New Roman" w:cs="Times New Roman"/>
          <w:sz w:val="22"/>
          <w:szCs w:val="22"/>
        </w:rPr>
      </w:pPr>
      <w:r>
        <w:rPr>
          <w:rFonts w:ascii="Times New Roman" w:hAnsi="Times New Roman" w:cs="Times New Roman"/>
          <w:sz w:val="22"/>
          <w:szCs w:val="22"/>
        </w:rPr>
        <w:t>Participation in CETL events dropped slightly during the 2016-17 year. Fewer programs were offered because of the transition between directors</w:t>
      </w:r>
      <w:r w:rsidR="006C19E3">
        <w:rPr>
          <w:rFonts w:ascii="Times New Roman" w:hAnsi="Times New Roman" w:cs="Times New Roman"/>
          <w:sz w:val="22"/>
          <w:szCs w:val="22"/>
        </w:rPr>
        <w:t>. E</w:t>
      </w:r>
      <w:r>
        <w:rPr>
          <w:rFonts w:ascii="Times New Roman" w:hAnsi="Times New Roman" w:cs="Times New Roman"/>
          <w:sz w:val="22"/>
          <w:szCs w:val="22"/>
        </w:rPr>
        <w:t xml:space="preserve">rrors </w:t>
      </w:r>
      <w:r w:rsidR="006C19E3">
        <w:rPr>
          <w:rFonts w:ascii="Times New Roman" w:hAnsi="Times New Roman" w:cs="Times New Roman"/>
          <w:sz w:val="22"/>
          <w:szCs w:val="22"/>
        </w:rPr>
        <w:t>and</w:t>
      </w:r>
      <w:r>
        <w:rPr>
          <w:rFonts w:ascii="Times New Roman" w:hAnsi="Times New Roman" w:cs="Times New Roman"/>
          <w:sz w:val="22"/>
          <w:szCs w:val="22"/>
        </w:rPr>
        <w:t xml:space="preserve"> unclear messaging during the transition </w:t>
      </w:r>
      <w:r w:rsidR="006C19E3">
        <w:rPr>
          <w:rFonts w:ascii="Times New Roman" w:hAnsi="Times New Roman" w:cs="Times New Roman"/>
          <w:sz w:val="22"/>
          <w:szCs w:val="22"/>
        </w:rPr>
        <w:t xml:space="preserve">may have affected participation </w:t>
      </w:r>
      <w:r>
        <w:rPr>
          <w:rFonts w:ascii="Times New Roman" w:hAnsi="Times New Roman" w:cs="Times New Roman"/>
          <w:sz w:val="22"/>
          <w:szCs w:val="22"/>
        </w:rPr>
        <w:t xml:space="preserve">as well. </w:t>
      </w:r>
    </w:p>
    <w:p w:rsidR="006C19E3" w:rsidP="006C19E3" w:rsidRDefault="006C19E3" w14:paraId="513FE7FD" w14:textId="77777777">
      <w:pPr>
        <w:pStyle w:val="PlainText"/>
        <w:tabs>
          <w:tab w:val="left" w:pos="360"/>
        </w:tabs>
        <w:ind w:left="360"/>
        <w:rPr>
          <w:rFonts w:ascii="Times New Roman" w:hAnsi="Times New Roman" w:cs="Times New Roman"/>
          <w:sz w:val="22"/>
          <w:szCs w:val="22"/>
        </w:rPr>
      </w:pPr>
    </w:p>
    <w:p w:rsidR="006C19E3" w:rsidP="006C19E3" w:rsidRDefault="00527A1A" w14:paraId="792B4458" w14:textId="58913E6B">
      <w:pPr>
        <w:pStyle w:val="PlainText"/>
        <w:tabs>
          <w:tab w:val="left" w:pos="360"/>
        </w:tabs>
        <w:ind w:left="360"/>
        <w:rPr>
          <w:rFonts w:ascii="Times New Roman" w:hAnsi="Times New Roman" w:cs="Times New Roman"/>
          <w:sz w:val="22"/>
          <w:szCs w:val="22"/>
        </w:rPr>
      </w:pPr>
      <w:r>
        <w:rPr>
          <w:rFonts w:ascii="Times New Roman" w:hAnsi="Times New Roman" w:cs="Times New Roman"/>
          <w:sz w:val="22"/>
          <w:szCs w:val="22"/>
        </w:rPr>
        <w:t xml:space="preserve">Needs analysis conducted during the spring 2017 semester suggest that CETL is offering a variety of programming that </w:t>
      </w:r>
      <w:proofErr w:type="gramStart"/>
      <w:r>
        <w:rPr>
          <w:rFonts w:ascii="Times New Roman" w:hAnsi="Times New Roman" w:cs="Times New Roman"/>
          <w:sz w:val="22"/>
          <w:szCs w:val="22"/>
        </w:rPr>
        <w:t>meet</w:t>
      </w:r>
      <w:proofErr w:type="gramEnd"/>
      <w:r>
        <w:rPr>
          <w:rFonts w:ascii="Times New Roman" w:hAnsi="Times New Roman" w:cs="Times New Roman"/>
          <w:sz w:val="22"/>
          <w:szCs w:val="22"/>
        </w:rPr>
        <w:t xml:space="preserve"> the interests of faculty and the goals of deans and administrators. </w:t>
      </w:r>
      <w:r w:rsidR="006C19E3">
        <w:rPr>
          <w:rFonts w:ascii="Times New Roman" w:hAnsi="Times New Roman" w:cs="Times New Roman"/>
          <w:sz w:val="22"/>
          <w:szCs w:val="22"/>
        </w:rPr>
        <w:t>Goals and initiatives for the 2017-18 year are listed below.</w:t>
      </w:r>
    </w:p>
    <w:p w:rsidR="006C19E3" w:rsidP="006C19E3" w:rsidRDefault="006C19E3" w14:paraId="4809FCDF" w14:textId="77777777">
      <w:pPr>
        <w:pStyle w:val="PlainText"/>
        <w:numPr>
          <w:ilvl w:val="0"/>
          <w:numId w:val="21"/>
        </w:numPr>
        <w:tabs>
          <w:tab w:val="left" w:pos="360"/>
        </w:tabs>
        <w:rPr>
          <w:rFonts w:ascii="Times New Roman" w:hAnsi="Times New Roman" w:cs="Times New Roman"/>
          <w:sz w:val="22"/>
          <w:szCs w:val="22"/>
        </w:rPr>
      </w:pPr>
      <w:r>
        <w:rPr>
          <w:rFonts w:ascii="Times New Roman" w:hAnsi="Times New Roman" w:cs="Times New Roman"/>
          <w:sz w:val="22"/>
          <w:szCs w:val="22"/>
        </w:rPr>
        <w:t>Continue to develop and diversify CETL programming.</w:t>
      </w:r>
    </w:p>
    <w:p w:rsidR="006C19E3" w:rsidP="006C19E3" w:rsidRDefault="006C19E3" w14:paraId="6D822AE9" w14:textId="77777777">
      <w:pPr>
        <w:pStyle w:val="PlainText"/>
        <w:numPr>
          <w:ilvl w:val="0"/>
          <w:numId w:val="21"/>
        </w:numPr>
        <w:tabs>
          <w:tab w:val="left" w:pos="360"/>
        </w:tabs>
        <w:rPr>
          <w:rFonts w:ascii="Times New Roman" w:hAnsi="Times New Roman" w:cs="Times New Roman"/>
          <w:sz w:val="22"/>
          <w:szCs w:val="22"/>
        </w:rPr>
      </w:pPr>
      <w:r>
        <w:rPr>
          <w:rFonts w:ascii="Times New Roman" w:hAnsi="Times New Roman" w:cs="Times New Roman"/>
          <w:sz w:val="22"/>
          <w:szCs w:val="22"/>
        </w:rPr>
        <w:t>Improve communication and promotion of CETL programs.</w:t>
      </w:r>
    </w:p>
    <w:p w:rsidR="006C19E3" w:rsidP="006C19E3" w:rsidRDefault="006C19E3" w14:paraId="76754F92" w14:textId="1E1C01FF">
      <w:pPr>
        <w:pStyle w:val="PlainText"/>
        <w:numPr>
          <w:ilvl w:val="0"/>
          <w:numId w:val="21"/>
        </w:numPr>
        <w:tabs>
          <w:tab w:val="left" w:pos="360"/>
        </w:tabs>
        <w:rPr>
          <w:rFonts w:ascii="Times New Roman" w:hAnsi="Times New Roman" w:cs="Times New Roman"/>
          <w:sz w:val="22"/>
          <w:szCs w:val="22"/>
        </w:rPr>
      </w:pPr>
      <w:r>
        <w:rPr>
          <w:rFonts w:ascii="Times New Roman" w:hAnsi="Times New Roman" w:cs="Times New Roman"/>
          <w:sz w:val="22"/>
          <w:szCs w:val="22"/>
        </w:rPr>
        <w:t>Collaborate and cooperate with the other service areas located in ML 88 and across the university.</w:t>
      </w:r>
    </w:p>
    <w:p w:rsidR="006C19E3" w:rsidP="006C19E3" w:rsidRDefault="006C19E3" w14:paraId="13C9A630" w14:textId="77777777">
      <w:pPr>
        <w:pStyle w:val="PlainText"/>
        <w:numPr>
          <w:ilvl w:val="0"/>
          <w:numId w:val="21"/>
        </w:numPr>
        <w:tabs>
          <w:tab w:val="left" w:pos="360"/>
        </w:tabs>
        <w:rPr>
          <w:rFonts w:ascii="Times New Roman" w:hAnsi="Times New Roman" w:cs="Times New Roman"/>
          <w:sz w:val="22"/>
          <w:szCs w:val="22"/>
        </w:rPr>
      </w:pPr>
      <w:r>
        <w:rPr>
          <w:rFonts w:ascii="Times New Roman" w:hAnsi="Times New Roman" w:cs="Times New Roman"/>
          <w:sz w:val="22"/>
          <w:szCs w:val="22"/>
        </w:rPr>
        <w:t xml:space="preserve">Document CETL activities and procedures into a handbook that will facilitate transition between directors. </w:t>
      </w:r>
    </w:p>
    <w:p w:rsidR="00D823EE" w:rsidP="006C19E3" w:rsidRDefault="006C19E3" w14:paraId="3456FEF2" w14:textId="1FF4C2E0">
      <w:pPr>
        <w:pStyle w:val="PlainText"/>
        <w:numPr>
          <w:ilvl w:val="0"/>
          <w:numId w:val="21"/>
        </w:numPr>
        <w:tabs>
          <w:tab w:val="left" w:pos="360"/>
        </w:tabs>
        <w:rPr>
          <w:rFonts w:ascii="Times New Roman" w:hAnsi="Times New Roman" w:cs="Times New Roman"/>
          <w:sz w:val="22"/>
          <w:szCs w:val="22"/>
        </w:rPr>
      </w:pPr>
      <w:r>
        <w:rPr>
          <w:rFonts w:ascii="Times New Roman" w:hAnsi="Times New Roman" w:cs="Times New Roman"/>
          <w:sz w:val="22"/>
          <w:szCs w:val="22"/>
        </w:rPr>
        <w:t xml:space="preserve">Assist Academic Affairs in developing a strategy for improving quality of teaching, learning, and student experience in 100% online programs through the Online Learning and Models Capability Audit. </w:t>
      </w:r>
    </w:p>
    <w:p w:rsidRPr="004C5706" w:rsidR="00BD1502" w:rsidP="004C5706" w:rsidRDefault="00BD1502" w14:paraId="3D158E3B" w14:textId="77777777">
      <w:pPr>
        <w:pStyle w:val="PlainText"/>
        <w:tabs>
          <w:tab w:val="left" w:pos="360"/>
        </w:tabs>
        <w:ind w:left="360"/>
        <w:rPr>
          <w:rFonts w:ascii="Times New Roman" w:hAnsi="Times New Roman" w:cs="Times New Roman"/>
          <w:sz w:val="22"/>
          <w:szCs w:val="22"/>
        </w:rPr>
      </w:pPr>
    </w:p>
    <w:p w:rsidR="006C19E3" w:rsidRDefault="006C19E3" w14:paraId="611E8701" w14:textId="77777777">
      <w:r>
        <w:br w:type="page"/>
      </w:r>
    </w:p>
    <w:p w:rsidR="00E92042" w:rsidP="00FF40E3" w:rsidRDefault="003B3C54" w14:paraId="623F773E" w14:textId="0BE4BC75">
      <w:pPr>
        <w:pStyle w:val="PlainText"/>
        <w:numPr>
          <w:ilvl w:val="0"/>
          <w:numId w:val="2"/>
        </w:numPr>
        <w:tabs>
          <w:tab w:val="left" w:pos="360"/>
        </w:tabs>
        <w:ind w:left="360" w:hanging="360"/>
        <w:rPr>
          <w:rFonts w:ascii="Times New Roman" w:hAnsi="Times New Roman" w:cs="Times New Roman"/>
          <w:sz w:val="22"/>
          <w:szCs w:val="22"/>
        </w:rPr>
      </w:pPr>
      <w:r w:rsidRPr="005B073A">
        <w:rPr>
          <w:rFonts w:ascii="Times New Roman" w:hAnsi="Times New Roman" w:cs="Times New Roman"/>
          <w:sz w:val="24"/>
          <w:szCs w:val="24"/>
        </w:rPr>
        <w:lastRenderedPageBreak/>
        <w:t>Highlights:</w:t>
      </w:r>
      <w:r w:rsidRPr="005B073A">
        <w:rPr>
          <w:rFonts w:ascii="Times New Roman" w:hAnsi="Times New Roman" w:cs="Times New Roman"/>
          <w:sz w:val="22"/>
          <w:szCs w:val="22"/>
        </w:rPr>
        <w:t xml:space="preserve">  </w:t>
      </w:r>
    </w:p>
    <w:p w:rsidR="00DC0105" w:rsidP="00DC0105" w:rsidRDefault="00DC0105" w14:paraId="3480ABB7" w14:textId="77777777">
      <w:pPr>
        <w:pStyle w:val="PlainText"/>
        <w:tabs>
          <w:tab w:val="left" w:pos="360"/>
        </w:tabs>
        <w:rPr>
          <w:rFonts w:ascii="Times New Roman" w:hAnsi="Times New Roman" w:cs="Times New Roman"/>
          <w:sz w:val="22"/>
          <w:szCs w:val="22"/>
        </w:rPr>
      </w:pPr>
    </w:p>
    <w:p w:rsidRPr="00557FF0" w:rsidR="00DC0105" w:rsidP="00DC0105" w:rsidRDefault="00DC0105" w14:paraId="70A0705F" w14:textId="58D46226">
      <w:pPr>
        <w:pStyle w:val="PlainText"/>
        <w:tabs>
          <w:tab w:val="left" w:pos="360"/>
        </w:tabs>
        <w:rPr>
          <w:rFonts w:ascii="Times New Roman" w:hAnsi="Times New Roman" w:cs="Times New Roman"/>
          <w:sz w:val="22"/>
          <w:szCs w:val="22"/>
        </w:rPr>
      </w:pPr>
      <w:r>
        <w:rPr>
          <w:rFonts w:ascii="Times New Roman" w:hAnsi="Times New Roman" w:cs="Times New Roman"/>
          <w:sz w:val="22"/>
          <w:szCs w:val="22"/>
        </w:rPr>
        <w:t xml:space="preserve">During the 2016-17 academic </w:t>
      </w:r>
      <w:proofErr w:type="gramStart"/>
      <w:r>
        <w:rPr>
          <w:rFonts w:ascii="Times New Roman" w:hAnsi="Times New Roman" w:cs="Times New Roman"/>
          <w:sz w:val="22"/>
          <w:szCs w:val="22"/>
        </w:rPr>
        <w:t>year</w:t>
      </w:r>
      <w:proofErr w:type="gramEnd"/>
      <w:r>
        <w:rPr>
          <w:rFonts w:ascii="Times New Roman" w:hAnsi="Times New Roman" w:cs="Times New Roman"/>
          <w:sz w:val="22"/>
          <w:szCs w:val="22"/>
        </w:rPr>
        <w:t xml:space="preserve">, CETL sponsored </w:t>
      </w:r>
      <w:r w:rsidR="008549C3">
        <w:rPr>
          <w:rFonts w:ascii="Times New Roman" w:hAnsi="Times New Roman" w:cs="Times New Roman"/>
          <w:sz w:val="22"/>
          <w:szCs w:val="22"/>
        </w:rPr>
        <w:t>the following events:</w:t>
      </w:r>
    </w:p>
    <w:tbl>
      <w:tblPr>
        <w:tblW w:w="8749" w:type="dxa"/>
        <w:tblInd w:w="460" w:type="dxa"/>
        <w:tblCellMar>
          <w:top w:w="15" w:type="dxa"/>
          <w:left w:w="15" w:type="dxa"/>
          <w:bottom w:w="15" w:type="dxa"/>
          <w:right w:w="15" w:type="dxa"/>
        </w:tblCellMar>
        <w:tblLook w:val="04A0" w:firstRow="1" w:lastRow="0" w:firstColumn="1" w:lastColumn="0" w:noHBand="0" w:noVBand="1"/>
      </w:tblPr>
      <w:tblGrid>
        <w:gridCol w:w="530"/>
        <w:gridCol w:w="4870"/>
        <w:gridCol w:w="3349"/>
      </w:tblGrid>
      <w:tr w:rsidR="00DC0105" w:rsidTr="00D16DF2" w14:paraId="77C0A4D6" w14:textId="77777777">
        <w:trPr>
          <w:trHeight w:val="2609"/>
        </w:trPr>
        <w:tc>
          <w:tcPr>
            <w:tcW w:w="530" w:type="dxa"/>
            <w:tcMar>
              <w:top w:w="100" w:type="dxa"/>
              <w:left w:w="100" w:type="dxa"/>
              <w:bottom w:w="100" w:type="dxa"/>
              <w:right w:w="100" w:type="dxa"/>
            </w:tcMar>
            <w:vAlign w:val="center"/>
            <w:hideMark/>
          </w:tcPr>
          <w:p w:rsidR="00DC0105" w:rsidP="00D16DF2" w:rsidRDefault="00DC0105" w14:paraId="5603DCD4" w14:textId="77777777">
            <w:pPr>
              <w:pStyle w:val="NormalWeb"/>
              <w:spacing w:before="0" w:beforeAutospacing="0" w:after="0" w:afterAutospacing="0"/>
              <w:jc w:val="right"/>
            </w:pPr>
            <w:r>
              <w:rPr>
                <w:rFonts w:ascii="Didact Gothic" w:hAnsi="Didact Gothic"/>
                <w:color w:val="000000"/>
                <w:sz w:val="22"/>
                <w:szCs w:val="22"/>
              </w:rPr>
              <w:t>18</w:t>
            </w:r>
          </w:p>
          <w:p w:rsidR="00DC0105" w:rsidP="00D16DF2" w:rsidRDefault="00DC0105" w14:paraId="6D3B95A4" w14:textId="77777777">
            <w:pPr>
              <w:pStyle w:val="NormalWeb"/>
              <w:spacing w:before="0" w:beforeAutospacing="0" w:after="0" w:afterAutospacing="0"/>
              <w:jc w:val="right"/>
            </w:pPr>
            <w:r>
              <w:rPr>
                <w:rFonts w:ascii="Didact Gothic" w:hAnsi="Didact Gothic"/>
                <w:color w:val="000000"/>
                <w:sz w:val="22"/>
                <w:szCs w:val="22"/>
              </w:rPr>
              <w:t>15</w:t>
            </w:r>
          </w:p>
          <w:p w:rsidR="00DC0105" w:rsidP="00D16DF2" w:rsidRDefault="00DC0105" w14:paraId="21E8B29C" w14:textId="77777777">
            <w:pPr>
              <w:pStyle w:val="NormalWeb"/>
              <w:spacing w:before="0" w:beforeAutospacing="0" w:after="0" w:afterAutospacing="0"/>
              <w:jc w:val="right"/>
            </w:pPr>
            <w:r>
              <w:rPr>
                <w:rFonts w:ascii="Didact Gothic" w:hAnsi="Didact Gothic"/>
                <w:color w:val="000000"/>
                <w:sz w:val="22"/>
                <w:szCs w:val="22"/>
              </w:rPr>
              <w:t>7</w:t>
            </w:r>
          </w:p>
          <w:p w:rsidR="00DC0105" w:rsidP="00D16DF2" w:rsidRDefault="00DC0105" w14:paraId="7718D23A" w14:textId="77777777">
            <w:pPr>
              <w:pStyle w:val="NormalWeb"/>
              <w:spacing w:before="0" w:beforeAutospacing="0" w:after="0" w:afterAutospacing="0"/>
              <w:jc w:val="right"/>
            </w:pPr>
            <w:r>
              <w:rPr>
                <w:rFonts w:ascii="Didact Gothic" w:hAnsi="Didact Gothic"/>
                <w:color w:val="000000"/>
                <w:sz w:val="22"/>
                <w:szCs w:val="22"/>
              </w:rPr>
              <w:t>26</w:t>
            </w:r>
          </w:p>
          <w:p w:rsidR="00DC0105" w:rsidP="00D16DF2" w:rsidRDefault="00DC0105" w14:paraId="0E45E6D2" w14:textId="77777777">
            <w:pPr>
              <w:pStyle w:val="NormalWeb"/>
              <w:spacing w:before="0" w:beforeAutospacing="0" w:after="0" w:afterAutospacing="0"/>
              <w:jc w:val="right"/>
            </w:pPr>
            <w:r>
              <w:rPr>
                <w:rFonts w:ascii="Didact Gothic" w:hAnsi="Didact Gothic"/>
                <w:color w:val="000000"/>
                <w:sz w:val="22"/>
                <w:szCs w:val="22"/>
              </w:rPr>
              <w:t>20</w:t>
            </w:r>
          </w:p>
          <w:p w:rsidR="00DC0105" w:rsidP="00D16DF2" w:rsidRDefault="00DC0105" w14:paraId="2AB4C18F" w14:textId="77777777">
            <w:pPr>
              <w:pStyle w:val="NormalWeb"/>
              <w:spacing w:before="0" w:beforeAutospacing="0" w:after="0" w:afterAutospacing="0"/>
              <w:jc w:val="right"/>
            </w:pPr>
            <w:r>
              <w:rPr>
                <w:rFonts w:ascii="Didact Gothic" w:hAnsi="Didact Gothic"/>
                <w:color w:val="000000"/>
                <w:sz w:val="22"/>
                <w:szCs w:val="22"/>
              </w:rPr>
              <w:t>20</w:t>
            </w:r>
          </w:p>
          <w:p w:rsidR="00DC0105" w:rsidP="00D16DF2" w:rsidRDefault="00DC0105" w14:paraId="7372586C" w14:textId="77777777">
            <w:pPr>
              <w:pStyle w:val="NormalWeb"/>
              <w:spacing w:before="0" w:beforeAutospacing="0" w:after="0" w:afterAutospacing="0"/>
              <w:jc w:val="right"/>
            </w:pPr>
            <w:r>
              <w:rPr>
                <w:rFonts w:ascii="Didact Gothic" w:hAnsi="Didact Gothic"/>
                <w:color w:val="000000"/>
                <w:sz w:val="22"/>
                <w:szCs w:val="22"/>
              </w:rPr>
              <w:t>9</w:t>
            </w:r>
          </w:p>
          <w:p w:rsidR="00DC0105" w:rsidP="00D16DF2" w:rsidRDefault="00DC0105" w14:paraId="04B72066" w14:textId="77777777">
            <w:pPr>
              <w:pStyle w:val="NormalWeb"/>
              <w:spacing w:before="0" w:beforeAutospacing="0" w:after="0" w:afterAutospacing="0"/>
              <w:jc w:val="right"/>
            </w:pPr>
            <w:r>
              <w:rPr>
                <w:rFonts w:ascii="Didact Gothic" w:hAnsi="Didact Gothic"/>
                <w:color w:val="000000"/>
                <w:sz w:val="22"/>
                <w:szCs w:val="22"/>
              </w:rPr>
              <w:t>23</w:t>
            </w:r>
          </w:p>
          <w:p w:rsidR="00DC0105" w:rsidP="00D16DF2" w:rsidRDefault="00DC0105" w14:paraId="00629198" w14:textId="77777777">
            <w:pPr>
              <w:pStyle w:val="NormalWeb"/>
              <w:spacing w:before="0" w:beforeAutospacing="0" w:after="0" w:afterAutospacing="0"/>
              <w:jc w:val="right"/>
            </w:pPr>
            <w:r>
              <w:rPr>
                <w:rFonts w:ascii="Didact Gothic" w:hAnsi="Didact Gothic"/>
                <w:color w:val="000000"/>
                <w:sz w:val="22"/>
                <w:szCs w:val="22"/>
              </w:rPr>
              <w:t>136</w:t>
            </w:r>
          </w:p>
          <w:p w:rsidR="00DC0105" w:rsidP="00D16DF2" w:rsidRDefault="00DC0105" w14:paraId="607831F5" w14:textId="77777777">
            <w:pPr>
              <w:pStyle w:val="NormalWeb"/>
              <w:spacing w:before="0" w:beforeAutospacing="0" w:after="0" w:afterAutospacing="0"/>
              <w:jc w:val="right"/>
            </w:pPr>
            <w:r>
              <w:rPr>
                <w:rFonts w:ascii="Didact Gothic" w:hAnsi="Didact Gothic"/>
                <w:color w:val="000000"/>
                <w:sz w:val="22"/>
                <w:szCs w:val="22"/>
              </w:rPr>
              <w:t>394</w:t>
            </w:r>
          </w:p>
        </w:tc>
        <w:tc>
          <w:tcPr>
            <w:tcW w:w="4870" w:type="dxa"/>
            <w:tcMar>
              <w:top w:w="100" w:type="dxa"/>
              <w:left w:w="100" w:type="dxa"/>
              <w:bottom w:w="100" w:type="dxa"/>
              <w:right w:w="100" w:type="dxa"/>
            </w:tcMar>
            <w:vAlign w:val="center"/>
            <w:hideMark/>
          </w:tcPr>
          <w:p w:rsidR="00DC0105" w:rsidP="00D16DF2" w:rsidRDefault="00DC0105" w14:paraId="7E21779E" w14:textId="77777777">
            <w:pPr>
              <w:pStyle w:val="NormalWeb"/>
              <w:spacing w:before="0" w:beforeAutospacing="0" w:after="0" w:afterAutospacing="0"/>
            </w:pPr>
            <w:r>
              <w:rPr>
                <w:rFonts w:ascii="Didact Gothic" w:hAnsi="Didact Gothic"/>
                <w:color w:val="000000"/>
                <w:sz w:val="22"/>
                <w:szCs w:val="22"/>
              </w:rPr>
              <w:t>Professional Learning Communities</w:t>
            </w:r>
          </w:p>
          <w:p w:rsidR="00DC0105" w:rsidP="00D16DF2" w:rsidRDefault="00DC0105" w14:paraId="64F6DB09" w14:textId="77777777">
            <w:pPr>
              <w:pStyle w:val="NormalWeb"/>
              <w:spacing w:before="0" w:beforeAutospacing="0" w:after="0" w:afterAutospacing="0"/>
            </w:pPr>
            <w:r>
              <w:rPr>
                <w:rFonts w:ascii="Didact Gothic" w:hAnsi="Didact Gothic"/>
                <w:color w:val="000000"/>
                <w:sz w:val="22"/>
                <w:szCs w:val="22"/>
              </w:rPr>
              <w:t>Scholars at Work Seminars</w:t>
            </w:r>
          </w:p>
          <w:p w:rsidR="00DC0105" w:rsidP="00D16DF2" w:rsidRDefault="00DC0105" w14:paraId="6D3DE52C" w14:textId="77777777">
            <w:pPr>
              <w:pStyle w:val="NormalWeb"/>
              <w:spacing w:before="0" w:beforeAutospacing="0" w:after="0" w:afterAutospacing="0"/>
            </w:pPr>
            <w:r>
              <w:rPr>
                <w:rFonts w:ascii="Didact Gothic" w:hAnsi="Didact Gothic"/>
                <w:color w:val="000000"/>
                <w:sz w:val="22"/>
                <w:szCs w:val="22"/>
              </w:rPr>
              <w:t>Book Discussion Groups</w:t>
            </w:r>
          </w:p>
          <w:p w:rsidR="00DC0105" w:rsidP="00D16DF2" w:rsidRDefault="00DC0105" w14:paraId="7A8DC151" w14:textId="77777777">
            <w:pPr>
              <w:pStyle w:val="NormalWeb"/>
              <w:spacing w:before="0" w:beforeAutospacing="0" w:after="0" w:afterAutospacing="0"/>
            </w:pPr>
            <w:r>
              <w:rPr>
                <w:rFonts w:ascii="Didact Gothic" w:hAnsi="Didact Gothic"/>
                <w:color w:val="000000"/>
                <w:sz w:val="22"/>
                <w:szCs w:val="22"/>
              </w:rPr>
              <w:t>Faculty &amp; Staff Facilitators</w:t>
            </w:r>
          </w:p>
          <w:p w:rsidR="00DC0105" w:rsidP="00D16DF2" w:rsidRDefault="00DC0105" w14:paraId="2B3E35D7" w14:textId="77777777">
            <w:pPr>
              <w:pStyle w:val="NormalWeb"/>
              <w:spacing w:before="0" w:beforeAutospacing="0" w:after="0" w:afterAutospacing="0"/>
            </w:pPr>
            <w:r>
              <w:rPr>
                <w:rFonts w:ascii="Didact Gothic" w:hAnsi="Didact Gothic"/>
                <w:color w:val="000000"/>
                <w:sz w:val="22"/>
                <w:szCs w:val="22"/>
              </w:rPr>
              <w:t>Peer Faculty Consultations</w:t>
            </w:r>
          </w:p>
          <w:p w:rsidR="00DC0105" w:rsidP="00D16DF2" w:rsidRDefault="00DC0105" w14:paraId="0CA444DD" w14:textId="77777777">
            <w:pPr>
              <w:pStyle w:val="NormalWeb"/>
              <w:spacing w:before="0" w:beforeAutospacing="0" w:after="0" w:afterAutospacing="0"/>
            </w:pPr>
            <w:r>
              <w:rPr>
                <w:rFonts w:ascii="Didact Gothic" w:hAnsi="Didact Gothic"/>
                <w:color w:val="000000"/>
                <w:sz w:val="22"/>
                <w:szCs w:val="22"/>
              </w:rPr>
              <w:t>Faculty Mentors/Mentees</w:t>
            </w:r>
          </w:p>
          <w:p w:rsidR="00DC0105" w:rsidP="00D16DF2" w:rsidRDefault="00DC0105" w14:paraId="14F277E7" w14:textId="77777777">
            <w:pPr>
              <w:pStyle w:val="NormalWeb"/>
              <w:spacing w:before="0" w:beforeAutospacing="0" w:after="0" w:afterAutospacing="0"/>
            </w:pPr>
            <w:r>
              <w:rPr>
                <w:rFonts w:ascii="Didact Gothic" w:hAnsi="Didact Gothic"/>
                <w:color w:val="000000"/>
                <w:sz w:val="22"/>
                <w:szCs w:val="22"/>
              </w:rPr>
              <w:t>Students Consulting on Teaching (SCOT)</w:t>
            </w:r>
          </w:p>
          <w:p w:rsidR="00DC0105" w:rsidP="00D16DF2" w:rsidRDefault="00DC0105" w14:paraId="34EE9370" w14:textId="77777777">
            <w:pPr>
              <w:pStyle w:val="NormalWeb"/>
              <w:spacing w:before="0" w:beforeAutospacing="0" w:after="0" w:afterAutospacing="0"/>
            </w:pPr>
            <w:r>
              <w:rPr>
                <w:rFonts w:ascii="Didact Gothic" w:hAnsi="Didact Gothic"/>
                <w:color w:val="000000"/>
                <w:sz w:val="22"/>
                <w:szCs w:val="22"/>
              </w:rPr>
              <w:t>SCOT Observations + Focus Groups</w:t>
            </w:r>
          </w:p>
          <w:p w:rsidR="00DC0105" w:rsidP="00D16DF2" w:rsidRDefault="00DC0105" w14:paraId="3F9B0435" w14:textId="77777777">
            <w:pPr>
              <w:pStyle w:val="NormalWeb"/>
              <w:spacing w:before="0" w:beforeAutospacing="0" w:after="0" w:afterAutospacing="0"/>
            </w:pPr>
            <w:r>
              <w:rPr>
                <w:rFonts w:ascii="Didact Gothic" w:hAnsi="Didact Gothic"/>
                <w:color w:val="000000"/>
                <w:sz w:val="22"/>
                <w:szCs w:val="22"/>
              </w:rPr>
              <w:t>Certificates Awarded</w:t>
            </w:r>
          </w:p>
          <w:p w:rsidR="00DC0105" w:rsidP="00D16DF2" w:rsidRDefault="00DC0105" w14:paraId="38FD3AE6" w14:textId="77777777">
            <w:pPr>
              <w:pStyle w:val="NormalWeb"/>
              <w:spacing w:before="0" w:beforeAutospacing="0" w:after="0" w:afterAutospacing="0"/>
            </w:pPr>
            <w:r>
              <w:rPr>
                <w:rFonts w:ascii="Didact Gothic" w:hAnsi="Didact Gothic"/>
                <w:color w:val="000000"/>
                <w:sz w:val="22"/>
                <w:szCs w:val="22"/>
              </w:rPr>
              <w:t>Total Participants</w:t>
            </w:r>
          </w:p>
        </w:tc>
        <w:tc>
          <w:tcPr>
            <w:tcW w:w="3349" w:type="dxa"/>
            <w:tcMar>
              <w:top w:w="100" w:type="dxa"/>
              <w:left w:w="100" w:type="dxa"/>
              <w:bottom w:w="100" w:type="dxa"/>
              <w:right w:w="100" w:type="dxa"/>
            </w:tcMar>
            <w:vAlign w:val="center"/>
            <w:hideMark/>
          </w:tcPr>
          <w:p w:rsidR="00DC0105" w:rsidP="00D16DF2" w:rsidRDefault="00DC0105" w14:paraId="65C954A1" w14:textId="77777777">
            <w:pPr>
              <w:pStyle w:val="NormalWeb"/>
              <w:spacing w:before="0" w:beforeAutospacing="0" w:after="0" w:afterAutospacing="0"/>
            </w:pPr>
            <w:r>
              <w:rPr>
                <w:rFonts w:ascii="Didact Gothic" w:hAnsi="Didact Gothic"/>
                <w:b/>
                <w:bCs/>
                <w:color w:val="000000"/>
                <w:sz w:val="22"/>
                <w:szCs w:val="22"/>
              </w:rPr>
              <w:t>13,000+ potential student impact</w:t>
            </w:r>
          </w:p>
        </w:tc>
      </w:tr>
    </w:tbl>
    <w:p w:rsidRPr="005B073A" w:rsidR="00B2670A" w:rsidP="00DC0105" w:rsidRDefault="00B2670A" w14:paraId="5E8793E6" w14:textId="77777777">
      <w:pPr>
        <w:pStyle w:val="PlainText"/>
        <w:tabs>
          <w:tab w:val="left" w:pos="360"/>
        </w:tabs>
        <w:rPr>
          <w:rFonts w:ascii="Times New Roman" w:hAnsi="Times New Roman" w:cs="Times New Roman"/>
          <w:sz w:val="22"/>
          <w:szCs w:val="22"/>
        </w:rPr>
      </w:pPr>
    </w:p>
    <w:p w:rsidR="003B3C54" w:rsidP="00FF40E3" w:rsidRDefault="003B3C54" w14:paraId="1241CE33" w14:textId="77777777">
      <w:pPr>
        <w:pStyle w:val="PlainText"/>
        <w:numPr>
          <w:ilvl w:val="0"/>
          <w:numId w:val="4"/>
        </w:numPr>
        <w:tabs>
          <w:tab w:val="left" w:pos="360"/>
        </w:tabs>
        <w:ind w:left="360" w:hanging="360"/>
        <w:rPr>
          <w:rFonts w:ascii="Times New Roman" w:hAnsi="Times New Roman" w:cs="Times New Roman"/>
          <w:i/>
          <w:iCs/>
          <w:sz w:val="22"/>
          <w:szCs w:val="22"/>
        </w:rPr>
      </w:pPr>
      <w:r w:rsidRPr="005B073A">
        <w:rPr>
          <w:rFonts w:ascii="Times New Roman" w:hAnsi="Times New Roman" w:cs="Times New Roman"/>
          <w:sz w:val="24"/>
          <w:szCs w:val="24"/>
        </w:rPr>
        <w:t>Mission Statement:</w:t>
      </w:r>
      <w:r w:rsidRPr="005B073A">
        <w:rPr>
          <w:rFonts w:ascii="Times New Roman" w:hAnsi="Times New Roman" w:cs="Times New Roman"/>
          <w:sz w:val="22"/>
          <w:szCs w:val="22"/>
        </w:rPr>
        <w:t xml:space="preserve">  </w:t>
      </w:r>
    </w:p>
    <w:p w:rsidR="00B2670A" w:rsidP="00DC0105" w:rsidRDefault="00DC0105" w14:paraId="16F6435C" w14:textId="6A292ED6">
      <w:pPr>
        <w:pStyle w:val="PlainText"/>
        <w:tabs>
          <w:tab w:val="left" w:pos="360"/>
        </w:tabs>
        <w:ind w:left="360"/>
        <w:rPr>
          <w:rFonts w:ascii="Times New Roman" w:hAnsi="Times New Roman" w:cs="Times New Roman"/>
          <w:sz w:val="22"/>
          <w:szCs w:val="22"/>
        </w:rPr>
      </w:pPr>
      <w:r w:rsidRPr="00BD1502">
        <w:rPr>
          <w:rFonts w:ascii="Times New Roman" w:hAnsi="Times New Roman" w:cs="Times New Roman"/>
          <w:sz w:val="22"/>
          <w:szCs w:val="22"/>
        </w:rPr>
        <w:t xml:space="preserve">CETL’s mission is to support the University’s faculty </w:t>
      </w:r>
      <w:r>
        <w:rPr>
          <w:rFonts w:ascii="Times New Roman" w:hAnsi="Times New Roman" w:cs="Times New Roman"/>
          <w:sz w:val="22"/>
          <w:szCs w:val="22"/>
        </w:rPr>
        <w:t>as they improve their teaching and</w:t>
      </w:r>
      <w:r w:rsidRPr="00BD1502">
        <w:rPr>
          <w:rFonts w:ascii="Times New Roman" w:hAnsi="Times New Roman" w:cs="Times New Roman"/>
          <w:sz w:val="22"/>
          <w:szCs w:val="22"/>
        </w:rPr>
        <w:t xml:space="preserve"> create excellent learning experiences for our students.</w:t>
      </w:r>
    </w:p>
    <w:p w:rsidRPr="004C5706" w:rsidR="00DC0105" w:rsidP="004C5706" w:rsidRDefault="00DC0105" w14:paraId="09D86886" w14:textId="77777777">
      <w:pPr>
        <w:pStyle w:val="PlainText"/>
        <w:tabs>
          <w:tab w:val="left" w:pos="360"/>
        </w:tabs>
        <w:rPr>
          <w:rFonts w:ascii="Times New Roman" w:hAnsi="Times New Roman" w:cs="Times New Roman"/>
          <w:iCs/>
          <w:sz w:val="22"/>
          <w:szCs w:val="22"/>
        </w:rPr>
      </w:pPr>
    </w:p>
    <w:p w:rsidR="003B3C54" w:rsidP="00FF40E3" w:rsidRDefault="003B3C54" w14:paraId="0082E895" w14:textId="77777777">
      <w:pPr>
        <w:pStyle w:val="PlainText"/>
        <w:numPr>
          <w:ilvl w:val="0"/>
          <w:numId w:val="4"/>
        </w:numPr>
        <w:tabs>
          <w:tab w:val="left" w:pos="360"/>
        </w:tabs>
        <w:ind w:left="360" w:hanging="360"/>
        <w:rPr>
          <w:rFonts w:ascii="Times New Roman" w:hAnsi="Times New Roman" w:cs="Times New Roman"/>
          <w:sz w:val="22"/>
          <w:szCs w:val="22"/>
        </w:rPr>
      </w:pPr>
      <w:r w:rsidRPr="005B073A">
        <w:rPr>
          <w:rFonts w:ascii="Times New Roman" w:hAnsi="Times New Roman" w:cs="Times New Roman"/>
          <w:sz w:val="24"/>
          <w:szCs w:val="24"/>
        </w:rPr>
        <w:t>Learning Outcomes</w:t>
      </w:r>
      <w:r w:rsidR="00A434B8">
        <w:rPr>
          <w:rFonts w:ascii="Times New Roman" w:hAnsi="Times New Roman" w:cs="Times New Roman"/>
          <w:sz w:val="24"/>
          <w:szCs w:val="24"/>
        </w:rPr>
        <w:t>/Service Improvements</w:t>
      </w:r>
      <w:r w:rsidRPr="005B073A">
        <w:rPr>
          <w:rFonts w:ascii="Times New Roman" w:hAnsi="Times New Roman" w:cs="Times New Roman"/>
          <w:sz w:val="24"/>
          <w:szCs w:val="24"/>
        </w:rPr>
        <w:t>:</w:t>
      </w:r>
      <w:r w:rsidR="00A434B8">
        <w:rPr>
          <w:rFonts w:ascii="Times New Roman" w:hAnsi="Times New Roman" w:cs="Times New Roman"/>
          <w:sz w:val="22"/>
          <w:szCs w:val="22"/>
        </w:rPr>
        <w:t xml:space="preserve"> </w:t>
      </w:r>
      <w:r w:rsidRPr="00A434B8" w:rsidR="00A434B8">
        <w:rPr>
          <w:rFonts w:ascii="Times New Roman" w:hAnsi="Times New Roman" w:cs="Times New Roman"/>
          <w:i/>
          <w:sz w:val="22"/>
          <w:szCs w:val="22"/>
        </w:rPr>
        <w:t>Please include 3-5 learning outcomes</w:t>
      </w:r>
      <w:r w:rsidR="00A434B8">
        <w:rPr>
          <w:rFonts w:ascii="Times New Roman" w:hAnsi="Times New Roman" w:cs="Times New Roman"/>
          <w:i/>
          <w:sz w:val="22"/>
          <w:szCs w:val="22"/>
        </w:rPr>
        <w:t>/service improvements</w:t>
      </w:r>
      <w:r w:rsidR="00740785">
        <w:rPr>
          <w:rFonts w:ascii="Times New Roman" w:hAnsi="Times New Roman" w:cs="Times New Roman"/>
          <w:i/>
          <w:sz w:val="22"/>
          <w:szCs w:val="22"/>
        </w:rPr>
        <w:t>.</w:t>
      </w:r>
    </w:p>
    <w:p w:rsidR="00740785" w:rsidP="00740785" w:rsidRDefault="00FC6E9D" w14:paraId="39215809" w14:textId="425F5FC1">
      <w:pPr>
        <w:pStyle w:val="PlainText"/>
        <w:numPr>
          <w:ilvl w:val="2"/>
          <w:numId w:val="2"/>
        </w:numPr>
        <w:tabs>
          <w:tab w:val="left" w:pos="360"/>
        </w:tabs>
        <w:ind w:left="990"/>
        <w:rPr>
          <w:rFonts w:ascii="Times New Roman" w:hAnsi="Times New Roman" w:cs="Times New Roman"/>
          <w:sz w:val="22"/>
          <w:szCs w:val="22"/>
        </w:rPr>
      </w:pPr>
      <w:r>
        <w:rPr>
          <w:rFonts w:ascii="Times New Roman" w:hAnsi="Times New Roman" w:cs="Times New Roman"/>
          <w:sz w:val="22"/>
          <w:szCs w:val="22"/>
        </w:rPr>
        <w:t>Service Improvement</w:t>
      </w:r>
      <w:r w:rsidR="00740785">
        <w:rPr>
          <w:rFonts w:ascii="Times New Roman" w:hAnsi="Times New Roman" w:cs="Times New Roman"/>
          <w:sz w:val="22"/>
          <w:szCs w:val="22"/>
        </w:rPr>
        <w:t xml:space="preserve"> 1:</w:t>
      </w:r>
      <w:r>
        <w:rPr>
          <w:rFonts w:ascii="Times New Roman" w:hAnsi="Times New Roman" w:cs="Times New Roman"/>
          <w:sz w:val="22"/>
          <w:szCs w:val="22"/>
        </w:rPr>
        <w:t xml:space="preserve"> </w:t>
      </w:r>
      <w:r w:rsidR="008171AE">
        <w:rPr>
          <w:rFonts w:ascii="Times New Roman" w:hAnsi="Times New Roman" w:cs="Times New Roman"/>
          <w:sz w:val="22"/>
          <w:szCs w:val="22"/>
        </w:rPr>
        <w:t>Continue to develop and diversify CETL programming.</w:t>
      </w:r>
    </w:p>
    <w:p w:rsidR="00BF0893" w:rsidP="00BF0893" w:rsidRDefault="00BF0893" w14:paraId="446B41C0" w14:textId="61C644C1">
      <w:pPr>
        <w:pStyle w:val="PlainText"/>
        <w:numPr>
          <w:ilvl w:val="1"/>
          <w:numId w:val="2"/>
        </w:numPr>
        <w:tabs>
          <w:tab w:val="left" w:pos="360"/>
        </w:tabs>
        <w:rPr>
          <w:rFonts w:ascii="Times New Roman" w:hAnsi="Times New Roman" w:cs="Times New Roman"/>
          <w:sz w:val="22"/>
          <w:szCs w:val="22"/>
        </w:rPr>
      </w:pPr>
      <w:r>
        <w:rPr>
          <w:rFonts w:ascii="Times New Roman" w:hAnsi="Times New Roman" w:cs="Times New Roman"/>
          <w:sz w:val="22"/>
          <w:szCs w:val="22"/>
        </w:rPr>
        <w:t>Conducted needs analysis during spring 2017 semester.</w:t>
      </w:r>
    </w:p>
    <w:p w:rsidR="00BF0893" w:rsidP="00BF0893" w:rsidRDefault="00BF0893" w14:paraId="2D078A1C" w14:textId="5963DFCE">
      <w:pPr>
        <w:pStyle w:val="PlainText"/>
        <w:numPr>
          <w:ilvl w:val="1"/>
          <w:numId w:val="2"/>
        </w:numPr>
        <w:tabs>
          <w:tab w:val="left" w:pos="360"/>
        </w:tabs>
        <w:rPr>
          <w:rFonts w:ascii="Times New Roman" w:hAnsi="Times New Roman" w:cs="Times New Roman"/>
          <w:sz w:val="22"/>
          <w:szCs w:val="22"/>
        </w:rPr>
      </w:pPr>
      <w:r>
        <w:rPr>
          <w:rFonts w:ascii="Times New Roman" w:hAnsi="Times New Roman" w:cs="Times New Roman"/>
          <w:sz w:val="22"/>
          <w:szCs w:val="22"/>
        </w:rPr>
        <w:t xml:space="preserve">Supervised the revision of SCOT training. </w:t>
      </w:r>
    </w:p>
    <w:p w:rsidR="00BF0893" w:rsidP="00BF0893" w:rsidRDefault="00BF0893" w14:paraId="154A2B17" w14:textId="678DC27E">
      <w:pPr>
        <w:pStyle w:val="PlainText"/>
        <w:numPr>
          <w:ilvl w:val="1"/>
          <w:numId w:val="2"/>
        </w:numPr>
        <w:tabs>
          <w:tab w:val="left" w:pos="360"/>
        </w:tabs>
        <w:rPr>
          <w:rFonts w:ascii="Times New Roman" w:hAnsi="Times New Roman" w:cs="Times New Roman"/>
          <w:sz w:val="22"/>
          <w:szCs w:val="22"/>
        </w:rPr>
      </w:pPr>
      <w:r>
        <w:rPr>
          <w:rFonts w:ascii="Times New Roman" w:hAnsi="Times New Roman" w:cs="Times New Roman"/>
          <w:sz w:val="22"/>
          <w:szCs w:val="22"/>
        </w:rPr>
        <w:t>Developed a protocol for peer observations.</w:t>
      </w:r>
    </w:p>
    <w:p w:rsidR="00BF0893" w:rsidP="00BF0893" w:rsidRDefault="00BF0893" w14:paraId="0E48906F" w14:textId="10D9B085">
      <w:pPr>
        <w:pStyle w:val="PlainText"/>
        <w:numPr>
          <w:ilvl w:val="1"/>
          <w:numId w:val="2"/>
        </w:numPr>
        <w:tabs>
          <w:tab w:val="left" w:pos="360"/>
        </w:tabs>
        <w:rPr>
          <w:rFonts w:ascii="Times New Roman" w:hAnsi="Times New Roman" w:cs="Times New Roman"/>
          <w:sz w:val="22"/>
          <w:szCs w:val="22"/>
        </w:rPr>
      </w:pPr>
      <w:r>
        <w:rPr>
          <w:rFonts w:ascii="Times New Roman" w:hAnsi="Times New Roman" w:cs="Times New Roman"/>
          <w:sz w:val="22"/>
          <w:szCs w:val="22"/>
        </w:rPr>
        <w:t>Introduced the weekly Shut Up and Write event in May 2017.</w:t>
      </w:r>
    </w:p>
    <w:p w:rsidR="00740785" w:rsidP="00740785" w:rsidRDefault="00FC6E9D" w14:paraId="4F3B206F" w14:textId="7B6D249E">
      <w:pPr>
        <w:pStyle w:val="PlainText"/>
        <w:numPr>
          <w:ilvl w:val="2"/>
          <w:numId w:val="2"/>
        </w:numPr>
        <w:tabs>
          <w:tab w:val="left" w:pos="360"/>
        </w:tabs>
        <w:ind w:left="990"/>
        <w:rPr>
          <w:rFonts w:ascii="Times New Roman" w:hAnsi="Times New Roman" w:cs="Times New Roman"/>
          <w:sz w:val="22"/>
          <w:szCs w:val="22"/>
        </w:rPr>
      </w:pPr>
      <w:r>
        <w:rPr>
          <w:rFonts w:ascii="Times New Roman" w:hAnsi="Times New Roman" w:cs="Times New Roman"/>
          <w:sz w:val="22"/>
          <w:szCs w:val="22"/>
        </w:rPr>
        <w:t>Service Improvement</w:t>
      </w:r>
      <w:r w:rsidR="00740785">
        <w:rPr>
          <w:rFonts w:ascii="Times New Roman" w:hAnsi="Times New Roman" w:cs="Times New Roman"/>
          <w:sz w:val="22"/>
          <w:szCs w:val="22"/>
        </w:rPr>
        <w:t xml:space="preserve"> 2:</w:t>
      </w:r>
      <w:r w:rsidR="008171AE">
        <w:rPr>
          <w:rFonts w:ascii="Times New Roman" w:hAnsi="Times New Roman" w:cs="Times New Roman"/>
          <w:sz w:val="22"/>
          <w:szCs w:val="22"/>
        </w:rPr>
        <w:t xml:space="preserve"> Improve communication and promotion of CETL programs.</w:t>
      </w:r>
    </w:p>
    <w:p w:rsidR="00BF0893" w:rsidP="00BF0893" w:rsidRDefault="00BF0893" w14:paraId="512AE40B" w14:textId="5FA37DBF">
      <w:pPr>
        <w:pStyle w:val="PlainText"/>
        <w:numPr>
          <w:ilvl w:val="1"/>
          <w:numId w:val="2"/>
        </w:numPr>
        <w:tabs>
          <w:tab w:val="left" w:pos="360"/>
        </w:tabs>
        <w:rPr>
          <w:rFonts w:ascii="Times New Roman" w:hAnsi="Times New Roman" w:cs="Times New Roman"/>
          <w:sz w:val="22"/>
          <w:szCs w:val="22"/>
        </w:rPr>
      </w:pPr>
      <w:r>
        <w:rPr>
          <w:rFonts w:ascii="Times New Roman" w:hAnsi="Times New Roman" w:cs="Times New Roman"/>
          <w:sz w:val="22"/>
          <w:szCs w:val="22"/>
        </w:rPr>
        <w:t>New email format implemented on A</w:t>
      </w:r>
      <w:r w:rsidR="006C19E3">
        <w:rPr>
          <w:rFonts w:ascii="Times New Roman" w:hAnsi="Times New Roman" w:cs="Times New Roman"/>
          <w:sz w:val="22"/>
          <w:szCs w:val="22"/>
        </w:rPr>
        <w:t>ugust 1, 2017.</w:t>
      </w:r>
    </w:p>
    <w:p w:rsidR="00740785" w:rsidP="00740785" w:rsidRDefault="008171AE" w14:paraId="2A5810C7" w14:textId="08332462">
      <w:pPr>
        <w:pStyle w:val="PlainText"/>
        <w:numPr>
          <w:ilvl w:val="2"/>
          <w:numId w:val="2"/>
        </w:numPr>
        <w:tabs>
          <w:tab w:val="left" w:pos="360"/>
        </w:tabs>
        <w:ind w:left="990"/>
        <w:rPr>
          <w:rFonts w:ascii="Times New Roman" w:hAnsi="Times New Roman" w:cs="Times New Roman"/>
          <w:sz w:val="22"/>
          <w:szCs w:val="22"/>
        </w:rPr>
      </w:pPr>
      <w:r>
        <w:rPr>
          <w:rFonts w:ascii="Times New Roman" w:hAnsi="Times New Roman" w:cs="Times New Roman"/>
          <w:sz w:val="22"/>
          <w:szCs w:val="22"/>
        </w:rPr>
        <w:t>Service Improvement 3: Collaborate and cooperate with the other</w:t>
      </w:r>
      <w:r w:rsidR="00BF0893">
        <w:rPr>
          <w:rFonts w:ascii="Times New Roman" w:hAnsi="Times New Roman" w:cs="Times New Roman"/>
          <w:sz w:val="22"/>
          <w:szCs w:val="22"/>
        </w:rPr>
        <w:t xml:space="preserve"> service areas located in ML 88 and across the university.</w:t>
      </w:r>
    </w:p>
    <w:p w:rsidR="00BF0893" w:rsidP="00BF0893" w:rsidRDefault="00BF0893" w14:paraId="4A7A3F51" w14:textId="4F8D6D99">
      <w:pPr>
        <w:pStyle w:val="PlainText"/>
        <w:numPr>
          <w:ilvl w:val="1"/>
          <w:numId w:val="19"/>
        </w:numPr>
        <w:tabs>
          <w:tab w:val="left" w:pos="360"/>
        </w:tabs>
        <w:rPr>
          <w:rFonts w:ascii="Times New Roman" w:hAnsi="Times New Roman" w:cs="Times New Roman"/>
          <w:sz w:val="22"/>
          <w:szCs w:val="22"/>
        </w:rPr>
      </w:pPr>
      <w:r>
        <w:rPr>
          <w:rFonts w:ascii="Times New Roman" w:hAnsi="Times New Roman" w:cs="Times New Roman"/>
          <w:sz w:val="22"/>
          <w:szCs w:val="22"/>
        </w:rPr>
        <w:t>Writing a Syllabus and Concept Map for College of Business (April 11, 2017)</w:t>
      </w:r>
    </w:p>
    <w:p w:rsidR="00BF0893" w:rsidP="00BF0893" w:rsidRDefault="00BF0893" w14:paraId="08899D87" w14:textId="0A5588A8">
      <w:pPr>
        <w:pStyle w:val="PlainText"/>
        <w:numPr>
          <w:ilvl w:val="1"/>
          <w:numId w:val="19"/>
        </w:numPr>
        <w:tabs>
          <w:tab w:val="left" w:pos="360"/>
        </w:tabs>
        <w:rPr>
          <w:rFonts w:ascii="Times New Roman" w:hAnsi="Times New Roman" w:cs="Times New Roman"/>
          <w:sz w:val="22"/>
          <w:szCs w:val="22"/>
        </w:rPr>
      </w:pPr>
      <w:r>
        <w:rPr>
          <w:rFonts w:ascii="Times New Roman" w:hAnsi="Times New Roman" w:cs="Times New Roman"/>
          <w:sz w:val="22"/>
          <w:szCs w:val="22"/>
        </w:rPr>
        <w:t>Build Your Online Course Boot Camp with ATS (August 7-11, 2017)</w:t>
      </w:r>
    </w:p>
    <w:p w:rsidRPr="00BF0893" w:rsidR="00BF0893" w:rsidP="00BF0893" w:rsidRDefault="00BF0893" w14:paraId="3867FE0A" w14:textId="7FB273D3">
      <w:pPr>
        <w:pStyle w:val="PlainText"/>
        <w:numPr>
          <w:ilvl w:val="1"/>
          <w:numId w:val="19"/>
        </w:numPr>
        <w:tabs>
          <w:tab w:val="left" w:pos="360"/>
        </w:tabs>
        <w:rPr>
          <w:rFonts w:ascii="Times New Roman" w:hAnsi="Times New Roman" w:cs="Times New Roman"/>
          <w:sz w:val="22"/>
          <w:szCs w:val="22"/>
        </w:rPr>
      </w:pPr>
      <w:r>
        <w:rPr>
          <w:rFonts w:ascii="Times New Roman" w:hAnsi="Times New Roman" w:cs="Times New Roman"/>
          <w:sz w:val="22"/>
          <w:szCs w:val="22"/>
        </w:rPr>
        <w:t>New Faculty Workshop with ATS and CESR (August 18, 2017)</w:t>
      </w:r>
    </w:p>
    <w:p w:rsidR="008171AE" w:rsidP="00740785" w:rsidRDefault="008171AE" w14:paraId="15CE313A" w14:textId="613E62BE">
      <w:pPr>
        <w:pStyle w:val="PlainText"/>
        <w:numPr>
          <w:ilvl w:val="2"/>
          <w:numId w:val="2"/>
        </w:numPr>
        <w:tabs>
          <w:tab w:val="left" w:pos="360"/>
        </w:tabs>
        <w:ind w:left="990"/>
        <w:rPr>
          <w:rFonts w:ascii="Times New Roman" w:hAnsi="Times New Roman" w:cs="Times New Roman"/>
          <w:sz w:val="22"/>
          <w:szCs w:val="22"/>
        </w:rPr>
      </w:pPr>
      <w:r>
        <w:rPr>
          <w:rFonts w:ascii="Times New Roman" w:hAnsi="Times New Roman" w:cs="Times New Roman"/>
          <w:sz w:val="22"/>
          <w:szCs w:val="22"/>
        </w:rPr>
        <w:t xml:space="preserve">Service Improvement 4: Document CETL activities and procedures into a handbook that will facilitate transition between directors. </w:t>
      </w:r>
    </w:p>
    <w:p w:rsidR="005716A6" w:rsidP="005716A6" w:rsidRDefault="005716A6" w14:paraId="7D345869" w14:textId="77777777">
      <w:pPr>
        <w:pStyle w:val="PlainText"/>
        <w:tabs>
          <w:tab w:val="left" w:pos="360"/>
        </w:tabs>
        <w:ind w:left="990"/>
        <w:rPr>
          <w:rFonts w:ascii="Times New Roman" w:hAnsi="Times New Roman" w:cs="Times New Roman"/>
          <w:sz w:val="22"/>
          <w:szCs w:val="22"/>
        </w:rPr>
        <w:sectPr w:rsidR="005716A6" w:rsidSect="00FF40E3">
          <w:headerReference w:type="default" r:id="rId9"/>
          <w:footerReference w:type="default" r:id="rId10"/>
          <w:pgSz w:w="12240" w:h="15840" w:orient="portrait"/>
          <w:pgMar w:top="1440" w:right="1440" w:bottom="1440" w:left="1440" w:header="720" w:footer="720" w:gutter="0"/>
          <w:cols w:space="720"/>
          <w:docGrid w:linePitch="360"/>
        </w:sectPr>
      </w:pPr>
    </w:p>
    <w:p w:rsidRPr="00740785" w:rsidR="005716A6" w:rsidP="005716A6" w:rsidRDefault="005716A6" w14:paraId="099CEB54" w14:textId="6EE90A12">
      <w:pPr>
        <w:pStyle w:val="PlainText"/>
        <w:tabs>
          <w:tab w:val="left" w:pos="360"/>
        </w:tabs>
        <w:ind w:left="990"/>
        <w:rPr>
          <w:rFonts w:ascii="Times New Roman" w:hAnsi="Times New Roman" w:cs="Times New Roman"/>
          <w:sz w:val="22"/>
          <w:szCs w:val="22"/>
        </w:rPr>
      </w:pPr>
    </w:p>
    <w:p w:rsidRPr="005B073A" w:rsidR="00C80B44" w:rsidP="00FF40E3" w:rsidRDefault="00C80B44" w14:paraId="0F885C97" w14:textId="77777777">
      <w:pPr>
        <w:pStyle w:val="ListParagraph"/>
        <w:tabs>
          <w:tab w:val="left" w:pos="360"/>
        </w:tabs>
        <w:ind w:left="360" w:hanging="360"/>
        <w:rPr>
          <w:sz w:val="22"/>
          <w:szCs w:val="22"/>
        </w:rPr>
      </w:pPr>
    </w:p>
    <w:tbl>
      <w:tblPr>
        <w:tblW w:w="1476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08"/>
        <w:gridCol w:w="2108"/>
        <w:gridCol w:w="2109"/>
        <w:gridCol w:w="2109"/>
        <w:gridCol w:w="2366"/>
        <w:gridCol w:w="3960"/>
      </w:tblGrid>
      <w:tr w:rsidRPr="005B073A" w:rsidR="00CD27F9" w:rsidTr="00CD27F9" w14:paraId="10A99CED" w14:textId="77777777">
        <w:trPr>
          <w:tblHeader/>
        </w:trPr>
        <w:tc>
          <w:tcPr>
            <w:tcW w:w="2108" w:type="dxa"/>
            <w:shd w:val="clear" w:color="auto" w:fill="FFFFFF" w:themeFill="background1"/>
          </w:tcPr>
          <w:p w:rsidRPr="00A7207E" w:rsidR="00A7207E" w:rsidP="001A140C" w:rsidRDefault="00A7207E" w14:paraId="7D54CC77" w14:textId="77777777">
            <w:pPr>
              <w:tabs>
                <w:tab w:val="left" w:pos="0"/>
              </w:tabs>
              <w:ind w:hanging="18"/>
              <w:jc w:val="center"/>
              <w:rPr>
                <w:b/>
                <w:i/>
                <w:sz w:val="20"/>
                <w:szCs w:val="20"/>
              </w:rPr>
            </w:pPr>
            <w:r>
              <w:rPr>
                <w:b/>
                <w:i/>
                <w:sz w:val="20"/>
                <w:szCs w:val="20"/>
              </w:rPr>
              <w:t>Institutional Student Learning Outcomes (ISLO)</w:t>
            </w:r>
          </w:p>
        </w:tc>
        <w:tc>
          <w:tcPr>
            <w:tcW w:w="2108" w:type="dxa"/>
            <w:shd w:val="clear" w:color="auto" w:fill="FFFFFF" w:themeFill="background1"/>
          </w:tcPr>
          <w:p w:rsidRPr="00A7207E" w:rsidR="00A7207E" w:rsidP="001A140C" w:rsidRDefault="00A7207E" w14:paraId="3934F99A" w14:textId="77777777">
            <w:pPr>
              <w:tabs>
                <w:tab w:val="left" w:pos="-18"/>
              </w:tabs>
              <w:ind w:hanging="18"/>
              <w:jc w:val="center"/>
              <w:rPr>
                <w:b/>
                <w:i/>
                <w:sz w:val="20"/>
                <w:szCs w:val="20"/>
              </w:rPr>
            </w:pPr>
            <w:r>
              <w:rPr>
                <w:b/>
                <w:i/>
                <w:sz w:val="20"/>
                <w:szCs w:val="20"/>
              </w:rPr>
              <w:t xml:space="preserve">Program/Division </w:t>
            </w:r>
            <w:r w:rsidRPr="00A7207E">
              <w:rPr>
                <w:b/>
                <w:i/>
                <w:sz w:val="20"/>
                <w:szCs w:val="20"/>
              </w:rPr>
              <w:t>Student Learning Outcomes</w:t>
            </w:r>
            <w:r>
              <w:rPr>
                <w:b/>
                <w:i/>
                <w:sz w:val="20"/>
                <w:szCs w:val="20"/>
              </w:rPr>
              <w:t xml:space="preserve"> (SLO)</w:t>
            </w:r>
          </w:p>
        </w:tc>
        <w:tc>
          <w:tcPr>
            <w:tcW w:w="2109" w:type="dxa"/>
            <w:shd w:val="clear" w:color="auto" w:fill="FFFFFF" w:themeFill="background1"/>
          </w:tcPr>
          <w:p w:rsidRPr="00A7207E" w:rsidR="00A7207E" w:rsidP="001A140C" w:rsidRDefault="00A7207E" w14:paraId="405852E6" w14:textId="77777777">
            <w:pPr>
              <w:tabs>
                <w:tab w:val="left" w:pos="0"/>
              </w:tabs>
              <w:jc w:val="center"/>
              <w:rPr>
                <w:b/>
                <w:i/>
                <w:sz w:val="20"/>
                <w:szCs w:val="20"/>
              </w:rPr>
            </w:pPr>
            <w:r w:rsidRPr="00A7207E">
              <w:rPr>
                <w:b/>
                <w:i/>
                <w:sz w:val="20"/>
                <w:szCs w:val="20"/>
              </w:rPr>
              <w:t>Assessment Methods/Measure (How were outcomes assessed?)</w:t>
            </w:r>
          </w:p>
        </w:tc>
        <w:tc>
          <w:tcPr>
            <w:tcW w:w="2109" w:type="dxa"/>
            <w:shd w:val="clear" w:color="auto" w:fill="FFFFFF" w:themeFill="background1"/>
          </w:tcPr>
          <w:p w:rsidRPr="00A7207E" w:rsidR="00A7207E" w:rsidP="001A140C" w:rsidRDefault="00A7207E" w14:paraId="1771261C" w14:textId="77777777">
            <w:pPr>
              <w:tabs>
                <w:tab w:val="left" w:pos="-18"/>
              </w:tabs>
              <w:ind w:hanging="18"/>
              <w:jc w:val="center"/>
              <w:rPr>
                <w:b/>
                <w:i/>
                <w:sz w:val="20"/>
                <w:szCs w:val="20"/>
              </w:rPr>
            </w:pPr>
            <w:r w:rsidRPr="00A7207E">
              <w:rPr>
                <w:b/>
                <w:i/>
                <w:sz w:val="20"/>
                <w:szCs w:val="20"/>
              </w:rPr>
              <w:t>Assessment Benchmark(s)</w:t>
            </w:r>
          </w:p>
        </w:tc>
        <w:tc>
          <w:tcPr>
            <w:tcW w:w="2366" w:type="dxa"/>
            <w:shd w:val="clear" w:color="auto" w:fill="FFFFFF" w:themeFill="background1"/>
          </w:tcPr>
          <w:p w:rsidRPr="00A7207E" w:rsidR="00A7207E" w:rsidP="001A140C" w:rsidRDefault="00A7207E" w14:paraId="6ACFD0DE" w14:textId="77777777">
            <w:pPr>
              <w:tabs>
                <w:tab w:val="left" w:pos="-18"/>
              </w:tabs>
              <w:ind w:hanging="18"/>
              <w:jc w:val="center"/>
              <w:rPr>
                <w:b/>
                <w:i/>
                <w:sz w:val="20"/>
                <w:szCs w:val="20"/>
              </w:rPr>
            </w:pPr>
            <w:r w:rsidRPr="00A7207E">
              <w:rPr>
                <w:b/>
                <w:i/>
                <w:sz w:val="20"/>
                <w:szCs w:val="20"/>
              </w:rPr>
              <w:t>Assessment Findings/ Results</w:t>
            </w:r>
          </w:p>
        </w:tc>
        <w:tc>
          <w:tcPr>
            <w:tcW w:w="3960" w:type="dxa"/>
            <w:shd w:val="clear" w:color="auto" w:fill="FFFFFF" w:themeFill="background1"/>
          </w:tcPr>
          <w:p w:rsidRPr="00A7207E" w:rsidR="00A7207E" w:rsidP="001A140C" w:rsidRDefault="00A7207E" w14:paraId="418CC68A" w14:textId="77777777">
            <w:pPr>
              <w:tabs>
                <w:tab w:val="left" w:pos="-18"/>
              </w:tabs>
              <w:jc w:val="center"/>
              <w:rPr>
                <w:b/>
                <w:i/>
                <w:sz w:val="20"/>
                <w:szCs w:val="20"/>
              </w:rPr>
            </w:pPr>
            <w:r w:rsidRPr="00A7207E">
              <w:rPr>
                <w:b/>
                <w:i/>
                <w:sz w:val="20"/>
                <w:szCs w:val="20"/>
              </w:rPr>
              <w:t>Improvements based on results</w:t>
            </w:r>
          </w:p>
          <w:p w:rsidRPr="00A7207E" w:rsidR="00A7207E" w:rsidP="001A140C" w:rsidRDefault="00A7207E" w14:paraId="50A97991" w14:textId="77777777">
            <w:pPr>
              <w:tabs>
                <w:tab w:val="left" w:pos="360"/>
              </w:tabs>
              <w:ind w:left="360" w:hanging="360"/>
              <w:jc w:val="center"/>
              <w:rPr>
                <w:b/>
                <w:i/>
                <w:sz w:val="20"/>
                <w:szCs w:val="20"/>
              </w:rPr>
            </w:pPr>
          </w:p>
        </w:tc>
      </w:tr>
      <w:tr w:rsidRPr="005B073A" w:rsidR="00CD27F9" w:rsidTr="00CD27F9" w14:paraId="6350751D" w14:textId="77777777">
        <w:trPr>
          <w:tblHeader/>
        </w:trPr>
        <w:tc>
          <w:tcPr>
            <w:tcW w:w="2108" w:type="dxa"/>
          </w:tcPr>
          <w:p w:rsidRPr="00FA02A5" w:rsidR="00A7207E" w:rsidP="006D3ED1" w:rsidRDefault="00A7207E" w14:paraId="54311B32" w14:textId="77777777">
            <w:pPr>
              <w:tabs>
                <w:tab w:val="left" w:pos="0"/>
              </w:tabs>
              <w:rPr>
                <w:b/>
                <w:sz w:val="20"/>
                <w:szCs w:val="20"/>
              </w:rPr>
            </w:pPr>
            <w:r w:rsidRPr="00FA02A5">
              <w:rPr>
                <w:b/>
                <w:sz w:val="20"/>
                <w:szCs w:val="20"/>
              </w:rPr>
              <w:t>ISLO 1:  Academic achievement</w:t>
            </w:r>
          </w:p>
          <w:p w:rsidR="00DD2AC8" w:rsidP="006D3ED1" w:rsidRDefault="00DD2AC8" w14:paraId="7AED2FB1" w14:textId="77777777">
            <w:pPr>
              <w:tabs>
                <w:tab w:val="left" w:pos="0"/>
              </w:tabs>
              <w:rPr>
                <w:b/>
                <w:i/>
                <w:sz w:val="20"/>
                <w:szCs w:val="20"/>
              </w:rPr>
            </w:pPr>
          </w:p>
          <w:p w:rsidRPr="00FA02A5" w:rsidR="00FA02A5" w:rsidP="006D3ED1" w:rsidRDefault="00FA02A5" w14:paraId="1E381BE0" w14:textId="36E400EE">
            <w:pPr>
              <w:tabs>
                <w:tab w:val="left" w:pos="0"/>
              </w:tabs>
              <w:rPr>
                <w:i/>
                <w:sz w:val="20"/>
                <w:szCs w:val="20"/>
              </w:rPr>
            </w:pPr>
            <w:r>
              <w:rPr>
                <w:i/>
                <w:sz w:val="20"/>
                <w:szCs w:val="20"/>
              </w:rPr>
              <w:t>Participants</w:t>
            </w:r>
            <w:r w:rsidRPr="00FA02A5">
              <w:rPr>
                <w:i/>
                <w:sz w:val="20"/>
                <w:szCs w:val="20"/>
              </w:rPr>
              <w:t xml:space="preserve"> will demonstrate competence in specific areas of academic disciplines that will directly impact their career endeavors.</w:t>
            </w:r>
          </w:p>
          <w:p w:rsidRPr="00A7207E" w:rsidR="00DD2AC8" w:rsidP="006D3ED1" w:rsidRDefault="00DD2AC8" w14:paraId="784B9408" w14:textId="4A16E09A">
            <w:pPr>
              <w:tabs>
                <w:tab w:val="left" w:pos="0"/>
              </w:tabs>
              <w:rPr>
                <w:i/>
                <w:sz w:val="20"/>
                <w:szCs w:val="20"/>
              </w:rPr>
            </w:pPr>
          </w:p>
        </w:tc>
        <w:tc>
          <w:tcPr>
            <w:tcW w:w="2108" w:type="dxa"/>
          </w:tcPr>
          <w:p w:rsidRPr="00FA02A5" w:rsidR="00A7207E" w:rsidP="00704155" w:rsidRDefault="00A7207E" w14:paraId="25F35770" w14:textId="77777777">
            <w:pPr>
              <w:tabs>
                <w:tab w:val="left" w:pos="0"/>
              </w:tabs>
              <w:rPr>
                <w:i/>
                <w:sz w:val="20"/>
                <w:szCs w:val="20"/>
              </w:rPr>
            </w:pPr>
            <w:r w:rsidRPr="00FA02A5">
              <w:rPr>
                <w:i/>
                <w:sz w:val="20"/>
                <w:szCs w:val="20"/>
              </w:rPr>
              <w:t>SLO #</w:t>
            </w:r>
            <w:r w:rsidRPr="00FA02A5" w:rsidR="008E6915">
              <w:rPr>
                <w:i/>
                <w:sz w:val="20"/>
                <w:szCs w:val="20"/>
              </w:rPr>
              <w:t>1</w:t>
            </w:r>
            <w:r w:rsidRPr="00FA02A5">
              <w:rPr>
                <w:i/>
                <w:sz w:val="20"/>
                <w:szCs w:val="20"/>
              </w:rPr>
              <w:t xml:space="preserve">: </w:t>
            </w:r>
            <w:r w:rsidRPr="00FA02A5" w:rsidR="00704155">
              <w:rPr>
                <w:i/>
                <w:sz w:val="20"/>
                <w:szCs w:val="20"/>
              </w:rPr>
              <w:t>Improve participation rates in CETL programs related to teaching and learning</w:t>
            </w:r>
            <w:r w:rsidRPr="00FA02A5">
              <w:rPr>
                <w:i/>
                <w:sz w:val="20"/>
                <w:szCs w:val="20"/>
              </w:rPr>
              <w:t>.</w:t>
            </w:r>
          </w:p>
          <w:p w:rsidRPr="00FA02A5" w:rsidR="007845DB" w:rsidP="00704155" w:rsidRDefault="007845DB" w14:paraId="036E2B79" w14:textId="77777777">
            <w:pPr>
              <w:tabs>
                <w:tab w:val="left" w:pos="0"/>
              </w:tabs>
              <w:rPr>
                <w:i/>
                <w:sz w:val="20"/>
                <w:szCs w:val="20"/>
              </w:rPr>
            </w:pPr>
          </w:p>
          <w:p w:rsidRPr="00FA02A5" w:rsidR="007845DB" w:rsidP="007845DB" w:rsidRDefault="007845DB" w14:paraId="6AB351E7" w14:textId="77777777">
            <w:pPr>
              <w:tabs>
                <w:tab w:val="left" w:pos="0"/>
              </w:tabs>
              <w:rPr>
                <w:i/>
                <w:sz w:val="20"/>
                <w:szCs w:val="20"/>
              </w:rPr>
            </w:pPr>
            <w:r w:rsidRPr="00FA02A5">
              <w:rPr>
                <w:i/>
                <w:sz w:val="20"/>
                <w:szCs w:val="20"/>
              </w:rPr>
              <w:t xml:space="preserve">SLO #2: Improve faculty teaching, course design, and student learning experiences.  </w:t>
            </w:r>
          </w:p>
          <w:p w:rsidRPr="00FA02A5" w:rsidR="00550003" w:rsidP="007845DB" w:rsidRDefault="00550003" w14:paraId="7C5A0293" w14:textId="77777777">
            <w:pPr>
              <w:tabs>
                <w:tab w:val="left" w:pos="0"/>
              </w:tabs>
              <w:rPr>
                <w:i/>
                <w:sz w:val="20"/>
                <w:szCs w:val="20"/>
              </w:rPr>
            </w:pPr>
          </w:p>
          <w:p w:rsidRPr="00FA02A5" w:rsidR="00550003" w:rsidP="007845DB" w:rsidRDefault="00550003" w14:paraId="33B4DDF5" w14:textId="2421C4AE">
            <w:pPr>
              <w:tabs>
                <w:tab w:val="left" w:pos="0"/>
              </w:tabs>
              <w:rPr>
                <w:i/>
                <w:sz w:val="20"/>
                <w:szCs w:val="20"/>
              </w:rPr>
            </w:pPr>
            <w:r w:rsidRPr="00FA02A5">
              <w:rPr>
                <w:i/>
                <w:sz w:val="20"/>
                <w:szCs w:val="20"/>
              </w:rPr>
              <w:t>SLO #3: Improve faculty satisfaction with CETL programming.</w:t>
            </w:r>
          </w:p>
        </w:tc>
        <w:tc>
          <w:tcPr>
            <w:tcW w:w="2109" w:type="dxa"/>
          </w:tcPr>
          <w:p w:rsidR="00DD2AC8" w:rsidP="00704155" w:rsidRDefault="00704155" w14:paraId="76CDC629" w14:textId="77777777">
            <w:pPr>
              <w:ind w:left="162" w:hanging="162"/>
              <w:rPr>
                <w:i/>
                <w:sz w:val="20"/>
                <w:szCs w:val="20"/>
              </w:rPr>
            </w:pPr>
            <w:r>
              <w:rPr>
                <w:i/>
                <w:sz w:val="20"/>
                <w:szCs w:val="20"/>
              </w:rPr>
              <w:t>Program registrations</w:t>
            </w:r>
          </w:p>
          <w:p w:rsidR="00704155" w:rsidP="00BD2B83" w:rsidRDefault="00704155" w14:paraId="5B989BD0" w14:textId="77777777">
            <w:pPr>
              <w:rPr>
                <w:i/>
                <w:sz w:val="20"/>
                <w:szCs w:val="20"/>
              </w:rPr>
            </w:pPr>
            <w:r>
              <w:rPr>
                <w:i/>
                <w:sz w:val="20"/>
                <w:szCs w:val="20"/>
              </w:rPr>
              <w:t>Program attendance logs</w:t>
            </w:r>
          </w:p>
          <w:p w:rsidR="00550003" w:rsidP="00FA02A5" w:rsidRDefault="00550003" w14:paraId="4330F417" w14:textId="77777777">
            <w:pPr>
              <w:rPr>
                <w:i/>
                <w:sz w:val="20"/>
                <w:szCs w:val="20"/>
              </w:rPr>
            </w:pPr>
          </w:p>
          <w:p w:rsidR="00550003" w:rsidP="00704155" w:rsidRDefault="00550003" w14:paraId="4810F3F1" w14:textId="77777777">
            <w:pPr>
              <w:ind w:left="162" w:hanging="162"/>
              <w:rPr>
                <w:i/>
                <w:sz w:val="20"/>
                <w:szCs w:val="20"/>
              </w:rPr>
            </w:pPr>
          </w:p>
          <w:p w:rsidR="00BD2B83" w:rsidP="00704155" w:rsidRDefault="00BD2B83" w14:paraId="4569C6D3" w14:textId="77777777">
            <w:pPr>
              <w:ind w:left="162" w:hanging="162"/>
              <w:rPr>
                <w:i/>
                <w:sz w:val="20"/>
                <w:szCs w:val="20"/>
              </w:rPr>
            </w:pPr>
          </w:p>
          <w:p w:rsidR="00550003" w:rsidP="00704155" w:rsidRDefault="00550003" w14:paraId="2B408ACA" w14:textId="66193D19">
            <w:pPr>
              <w:ind w:left="162" w:hanging="162"/>
              <w:rPr>
                <w:i/>
                <w:sz w:val="20"/>
                <w:szCs w:val="20"/>
              </w:rPr>
            </w:pPr>
            <w:r>
              <w:rPr>
                <w:i/>
                <w:sz w:val="20"/>
                <w:szCs w:val="20"/>
              </w:rPr>
              <w:t>Stakeholder interviews</w:t>
            </w:r>
          </w:p>
          <w:p w:rsidR="007845DB" w:rsidP="00550003" w:rsidRDefault="00550003" w14:paraId="617695F7" w14:textId="77777777">
            <w:pPr>
              <w:rPr>
                <w:i/>
                <w:sz w:val="20"/>
                <w:szCs w:val="20"/>
              </w:rPr>
            </w:pPr>
            <w:r>
              <w:rPr>
                <w:i/>
                <w:sz w:val="20"/>
                <w:szCs w:val="20"/>
              </w:rPr>
              <w:t>Participant surveys</w:t>
            </w:r>
          </w:p>
          <w:p w:rsidR="00550003" w:rsidP="00FA02A5" w:rsidRDefault="00550003" w14:paraId="602F35F6" w14:textId="77777777">
            <w:pPr>
              <w:rPr>
                <w:i/>
                <w:sz w:val="20"/>
                <w:szCs w:val="20"/>
              </w:rPr>
            </w:pPr>
          </w:p>
          <w:p w:rsidR="00550003" w:rsidP="00550003" w:rsidRDefault="00550003" w14:paraId="0E36143C" w14:textId="77777777">
            <w:pPr>
              <w:ind w:left="162" w:hanging="162"/>
              <w:rPr>
                <w:i/>
                <w:sz w:val="20"/>
                <w:szCs w:val="20"/>
              </w:rPr>
            </w:pPr>
          </w:p>
          <w:p w:rsidR="00550003" w:rsidP="00550003" w:rsidRDefault="00550003" w14:paraId="4BB2EA8F" w14:textId="77777777">
            <w:pPr>
              <w:ind w:left="162" w:hanging="162"/>
              <w:rPr>
                <w:i/>
                <w:sz w:val="20"/>
                <w:szCs w:val="20"/>
              </w:rPr>
            </w:pPr>
          </w:p>
          <w:p w:rsidR="00550003" w:rsidP="00550003" w:rsidRDefault="00550003" w14:paraId="24AD84B9" w14:textId="77777777">
            <w:pPr>
              <w:ind w:left="162" w:hanging="162"/>
              <w:rPr>
                <w:i/>
                <w:sz w:val="20"/>
                <w:szCs w:val="20"/>
              </w:rPr>
            </w:pPr>
            <w:r>
              <w:rPr>
                <w:i/>
                <w:sz w:val="20"/>
                <w:szCs w:val="20"/>
              </w:rPr>
              <w:t>Stakeholder interviews</w:t>
            </w:r>
          </w:p>
          <w:p w:rsidRPr="00A7207E" w:rsidR="00550003" w:rsidP="00550003" w:rsidRDefault="00550003" w14:paraId="4D1A07D1" w14:textId="2FC97F8E">
            <w:pPr>
              <w:rPr>
                <w:i/>
                <w:sz w:val="20"/>
                <w:szCs w:val="20"/>
              </w:rPr>
            </w:pPr>
            <w:r>
              <w:rPr>
                <w:i/>
                <w:sz w:val="20"/>
                <w:szCs w:val="20"/>
              </w:rPr>
              <w:t>Participant surveys</w:t>
            </w:r>
          </w:p>
        </w:tc>
        <w:tc>
          <w:tcPr>
            <w:tcW w:w="2109" w:type="dxa"/>
          </w:tcPr>
          <w:p w:rsidRPr="00A7207E" w:rsidR="00A7207E" w:rsidP="007432B9" w:rsidRDefault="00550003" w14:paraId="02940A7B" w14:textId="4723D295">
            <w:pPr>
              <w:tabs>
                <w:tab w:val="left" w:pos="0"/>
              </w:tabs>
              <w:rPr>
                <w:i/>
                <w:sz w:val="20"/>
                <w:szCs w:val="20"/>
              </w:rPr>
            </w:pPr>
            <w:r>
              <w:rPr>
                <w:i/>
                <w:sz w:val="20"/>
                <w:szCs w:val="20"/>
              </w:rPr>
              <w:t xml:space="preserve">Increase participation rates </w:t>
            </w:r>
            <w:r w:rsidR="00717AA4">
              <w:rPr>
                <w:i/>
                <w:sz w:val="20"/>
                <w:szCs w:val="20"/>
              </w:rPr>
              <w:t xml:space="preserve">(overall and by college) </w:t>
            </w:r>
            <w:r>
              <w:rPr>
                <w:i/>
                <w:sz w:val="20"/>
                <w:szCs w:val="20"/>
              </w:rPr>
              <w:t>compared to previous year.</w:t>
            </w:r>
          </w:p>
          <w:p w:rsidR="00550003" w:rsidP="00550003" w:rsidRDefault="00550003" w14:paraId="5DFA9453" w14:textId="6358D0DB">
            <w:pPr>
              <w:tabs>
                <w:tab w:val="left" w:pos="0"/>
              </w:tabs>
              <w:rPr>
                <w:i/>
                <w:sz w:val="20"/>
                <w:szCs w:val="20"/>
              </w:rPr>
            </w:pPr>
          </w:p>
          <w:p w:rsidR="00550003" w:rsidP="00550003" w:rsidRDefault="00550003" w14:paraId="29DD4299" w14:textId="77777777">
            <w:pPr>
              <w:tabs>
                <w:tab w:val="left" w:pos="0"/>
              </w:tabs>
              <w:rPr>
                <w:i/>
                <w:sz w:val="20"/>
                <w:szCs w:val="20"/>
              </w:rPr>
            </w:pPr>
          </w:p>
          <w:p w:rsidR="00550003" w:rsidP="00550003" w:rsidRDefault="00550003" w14:paraId="6151443D" w14:textId="5DB028B7">
            <w:pPr>
              <w:tabs>
                <w:tab w:val="left" w:pos="0"/>
              </w:tabs>
              <w:rPr>
                <w:i/>
                <w:sz w:val="20"/>
                <w:szCs w:val="20"/>
              </w:rPr>
            </w:pPr>
            <w:r>
              <w:rPr>
                <w:i/>
                <w:sz w:val="20"/>
                <w:szCs w:val="20"/>
              </w:rPr>
              <w:t>Implementation of ideas and techniques into student learning experiences within 12 months.</w:t>
            </w:r>
          </w:p>
          <w:p w:rsidR="00BD2B83" w:rsidP="00550003" w:rsidRDefault="00BD2B83" w14:paraId="05FD60CD" w14:textId="77777777">
            <w:pPr>
              <w:tabs>
                <w:tab w:val="left" w:pos="0"/>
              </w:tabs>
              <w:rPr>
                <w:i/>
                <w:sz w:val="20"/>
                <w:szCs w:val="20"/>
              </w:rPr>
            </w:pPr>
          </w:p>
          <w:p w:rsidRPr="00A7207E" w:rsidR="00A7207E" w:rsidP="007432B9" w:rsidRDefault="00BD2B83" w14:paraId="69DE178F" w14:textId="47C88A9E">
            <w:pPr>
              <w:tabs>
                <w:tab w:val="left" w:pos="0"/>
              </w:tabs>
              <w:rPr>
                <w:i/>
                <w:sz w:val="20"/>
                <w:szCs w:val="20"/>
              </w:rPr>
            </w:pPr>
            <w:r w:rsidRPr="00BD2B83">
              <w:rPr>
                <w:i/>
                <w:sz w:val="20"/>
                <w:szCs w:val="20"/>
              </w:rPr>
              <w:t xml:space="preserve">Improve </w:t>
            </w:r>
            <w:r>
              <w:rPr>
                <w:i/>
                <w:sz w:val="20"/>
                <w:szCs w:val="20"/>
              </w:rPr>
              <w:t xml:space="preserve">participant </w:t>
            </w:r>
            <w:r w:rsidRPr="00BD2B83">
              <w:rPr>
                <w:i/>
                <w:sz w:val="20"/>
                <w:szCs w:val="20"/>
              </w:rPr>
              <w:t xml:space="preserve">satisfaction ratings to an average of 4.0 or greater on a 5.0 Likert scale across colleges </w:t>
            </w:r>
          </w:p>
        </w:tc>
        <w:tc>
          <w:tcPr>
            <w:tcW w:w="2366" w:type="dxa"/>
          </w:tcPr>
          <w:p w:rsidRPr="00CD1F2F" w:rsidR="00717AA4" w:rsidP="00E12333" w:rsidRDefault="00BD2B83" w14:paraId="42A7281E" w14:textId="496867FA">
            <w:pPr>
              <w:tabs>
                <w:tab w:val="left" w:pos="0"/>
              </w:tabs>
              <w:rPr>
                <w:b/>
                <w:sz w:val="20"/>
                <w:szCs w:val="20"/>
              </w:rPr>
            </w:pPr>
            <w:r>
              <w:rPr>
                <w:b/>
                <w:sz w:val="20"/>
                <w:szCs w:val="20"/>
              </w:rPr>
              <w:t xml:space="preserve">AY </w:t>
            </w:r>
            <w:r w:rsidRPr="00CD1F2F" w:rsidR="00CD1F2F">
              <w:rPr>
                <w:b/>
                <w:sz w:val="20"/>
                <w:szCs w:val="20"/>
              </w:rPr>
              <w:t xml:space="preserve">2016-17 participation </w:t>
            </w:r>
          </w:p>
          <w:p w:rsidR="005630E7" w:rsidP="00E12333" w:rsidRDefault="007A50F6" w14:paraId="21BAEC5B" w14:textId="4B7955A2">
            <w:pPr>
              <w:tabs>
                <w:tab w:val="left" w:pos="0"/>
              </w:tabs>
              <w:rPr>
                <w:i/>
                <w:sz w:val="20"/>
                <w:szCs w:val="20"/>
              </w:rPr>
            </w:pPr>
            <w:r>
              <w:rPr>
                <w:i/>
                <w:sz w:val="20"/>
                <w:szCs w:val="20"/>
              </w:rPr>
              <w:t>456</w:t>
            </w:r>
            <w:r w:rsidR="008549C3">
              <w:rPr>
                <w:i/>
                <w:sz w:val="20"/>
                <w:szCs w:val="20"/>
              </w:rPr>
              <w:t xml:space="preserve"> total </w:t>
            </w:r>
            <w:r w:rsidR="00C92E6F">
              <w:rPr>
                <w:i/>
                <w:sz w:val="20"/>
                <w:szCs w:val="20"/>
              </w:rPr>
              <w:t>participations</w:t>
            </w:r>
          </w:p>
          <w:p w:rsidR="003E2EEE" w:rsidP="00E12333" w:rsidRDefault="003E2EEE" w14:paraId="1F11AF96" w14:textId="77777777">
            <w:pPr>
              <w:tabs>
                <w:tab w:val="left" w:pos="0"/>
              </w:tabs>
              <w:rPr>
                <w:i/>
                <w:sz w:val="20"/>
                <w:szCs w:val="20"/>
              </w:rPr>
            </w:pPr>
          </w:p>
          <w:p w:rsidRPr="005630E7" w:rsidR="00C92E6F" w:rsidP="00E12333" w:rsidRDefault="003E2EEE" w14:paraId="0F44B246" w14:textId="3443D5B0">
            <w:pPr>
              <w:tabs>
                <w:tab w:val="left" w:pos="0"/>
              </w:tabs>
              <w:rPr>
                <w:i/>
                <w:sz w:val="20"/>
                <w:szCs w:val="20"/>
              </w:rPr>
            </w:pPr>
            <w:r>
              <w:rPr>
                <w:i/>
                <w:sz w:val="20"/>
                <w:szCs w:val="20"/>
              </w:rPr>
              <w:t>At least 132</w:t>
            </w:r>
            <w:r w:rsidR="00C92E6F">
              <w:rPr>
                <w:i/>
                <w:sz w:val="20"/>
                <w:szCs w:val="20"/>
              </w:rPr>
              <w:t xml:space="preserve"> unique participants in PLC, SAW, and book groups </w:t>
            </w:r>
          </w:p>
          <w:p w:rsidR="003E2EEE" w:rsidP="00E12333" w:rsidRDefault="003E2EEE" w14:paraId="2956B435" w14:textId="77777777">
            <w:pPr>
              <w:tabs>
                <w:tab w:val="left" w:pos="0"/>
              </w:tabs>
              <w:rPr>
                <w:i/>
                <w:sz w:val="20"/>
                <w:szCs w:val="20"/>
              </w:rPr>
            </w:pPr>
          </w:p>
          <w:p w:rsidR="003E2EEE" w:rsidP="00E12333" w:rsidRDefault="003E2EEE" w14:paraId="29699875" w14:textId="03B7A7BA">
            <w:pPr>
              <w:tabs>
                <w:tab w:val="left" w:pos="0"/>
              </w:tabs>
              <w:rPr>
                <w:i/>
                <w:sz w:val="20"/>
                <w:szCs w:val="20"/>
              </w:rPr>
            </w:pPr>
            <w:r>
              <w:rPr>
                <w:i/>
                <w:sz w:val="20"/>
                <w:szCs w:val="20"/>
              </w:rPr>
              <w:t>Participation by college:</w:t>
            </w:r>
          </w:p>
          <w:p w:rsidR="005630E7" w:rsidP="00E12333" w:rsidRDefault="005630E7" w14:paraId="6C1FA752" w14:textId="0FF43D3D">
            <w:pPr>
              <w:tabs>
                <w:tab w:val="left" w:pos="0"/>
              </w:tabs>
              <w:rPr>
                <w:i/>
                <w:sz w:val="20"/>
                <w:szCs w:val="20"/>
              </w:rPr>
            </w:pPr>
            <w:r>
              <w:rPr>
                <w:i/>
                <w:sz w:val="20"/>
                <w:szCs w:val="20"/>
              </w:rPr>
              <w:t xml:space="preserve">AHN = </w:t>
            </w:r>
            <w:r w:rsidR="00B41225">
              <w:rPr>
                <w:i/>
                <w:sz w:val="20"/>
                <w:szCs w:val="20"/>
              </w:rPr>
              <w:t>74</w:t>
            </w:r>
            <w:r w:rsidR="009851B5">
              <w:rPr>
                <w:i/>
                <w:sz w:val="20"/>
                <w:szCs w:val="20"/>
              </w:rPr>
              <w:t xml:space="preserve"> </w:t>
            </w:r>
          </w:p>
          <w:p w:rsidR="005630E7" w:rsidP="00E12333" w:rsidRDefault="005630E7" w14:paraId="1DC68D53" w14:textId="27DE1159">
            <w:pPr>
              <w:tabs>
                <w:tab w:val="left" w:pos="0"/>
              </w:tabs>
              <w:rPr>
                <w:i/>
                <w:sz w:val="20"/>
                <w:szCs w:val="20"/>
              </w:rPr>
            </w:pPr>
            <w:r>
              <w:rPr>
                <w:i/>
                <w:sz w:val="20"/>
                <w:szCs w:val="20"/>
              </w:rPr>
              <w:t xml:space="preserve">A&amp;H = </w:t>
            </w:r>
            <w:r w:rsidR="00B41225">
              <w:rPr>
                <w:i/>
                <w:sz w:val="20"/>
                <w:szCs w:val="20"/>
              </w:rPr>
              <w:t>96</w:t>
            </w:r>
            <w:r w:rsidR="009851B5">
              <w:rPr>
                <w:i/>
                <w:sz w:val="20"/>
                <w:szCs w:val="20"/>
              </w:rPr>
              <w:t xml:space="preserve"> </w:t>
            </w:r>
          </w:p>
          <w:p w:rsidR="00CD1F2F" w:rsidP="00E12333" w:rsidRDefault="005630E7" w14:paraId="751F9BC2" w14:textId="20E406A7">
            <w:pPr>
              <w:tabs>
                <w:tab w:val="left" w:pos="0"/>
              </w:tabs>
              <w:rPr>
                <w:i/>
                <w:sz w:val="20"/>
                <w:szCs w:val="20"/>
              </w:rPr>
            </w:pPr>
            <w:r>
              <w:rPr>
                <w:i/>
                <w:sz w:val="20"/>
                <w:szCs w:val="20"/>
              </w:rPr>
              <w:t xml:space="preserve">COB = </w:t>
            </w:r>
            <w:r w:rsidR="00B41225">
              <w:rPr>
                <w:i/>
                <w:sz w:val="20"/>
                <w:szCs w:val="20"/>
              </w:rPr>
              <w:t>35</w:t>
            </w:r>
          </w:p>
          <w:p w:rsidR="005630E7" w:rsidP="00E12333" w:rsidRDefault="005630E7" w14:paraId="35CEFA6F" w14:textId="399145D1">
            <w:pPr>
              <w:tabs>
                <w:tab w:val="left" w:pos="0"/>
              </w:tabs>
              <w:rPr>
                <w:i/>
                <w:sz w:val="20"/>
                <w:szCs w:val="20"/>
              </w:rPr>
            </w:pPr>
            <w:r>
              <w:rPr>
                <w:i/>
                <w:sz w:val="20"/>
                <w:szCs w:val="20"/>
              </w:rPr>
              <w:t xml:space="preserve">ED = </w:t>
            </w:r>
            <w:r w:rsidR="00B41225">
              <w:rPr>
                <w:i/>
                <w:sz w:val="20"/>
                <w:szCs w:val="20"/>
              </w:rPr>
              <w:t>48</w:t>
            </w:r>
          </w:p>
          <w:p w:rsidR="005630E7" w:rsidP="00E12333" w:rsidRDefault="005630E7" w14:paraId="797CDA9E" w14:textId="768C7D64">
            <w:pPr>
              <w:tabs>
                <w:tab w:val="left" w:pos="0"/>
              </w:tabs>
              <w:rPr>
                <w:i/>
                <w:sz w:val="20"/>
                <w:szCs w:val="20"/>
              </w:rPr>
            </w:pPr>
            <w:r>
              <w:rPr>
                <w:i/>
                <w:sz w:val="20"/>
                <w:szCs w:val="20"/>
              </w:rPr>
              <w:t xml:space="preserve">SET = </w:t>
            </w:r>
            <w:r w:rsidR="00B41225">
              <w:rPr>
                <w:i/>
                <w:sz w:val="20"/>
                <w:szCs w:val="20"/>
              </w:rPr>
              <w:t>50</w:t>
            </w:r>
          </w:p>
          <w:p w:rsidR="005630E7" w:rsidP="00E12333" w:rsidRDefault="005630E7" w14:paraId="2CE0C505" w14:textId="27F24AB2">
            <w:pPr>
              <w:tabs>
                <w:tab w:val="left" w:pos="0"/>
              </w:tabs>
              <w:rPr>
                <w:i/>
                <w:sz w:val="20"/>
                <w:szCs w:val="20"/>
              </w:rPr>
            </w:pPr>
            <w:r>
              <w:rPr>
                <w:i/>
                <w:sz w:val="20"/>
                <w:szCs w:val="20"/>
              </w:rPr>
              <w:t xml:space="preserve">SBS = </w:t>
            </w:r>
            <w:r w:rsidR="00B41225">
              <w:rPr>
                <w:i/>
                <w:sz w:val="20"/>
                <w:szCs w:val="20"/>
              </w:rPr>
              <w:t>88</w:t>
            </w:r>
          </w:p>
          <w:p w:rsidR="00CD1F2F" w:rsidP="00E12333" w:rsidRDefault="00CD1F2F" w14:paraId="45F31F91" w14:textId="77777777">
            <w:pPr>
              <w:tabs>
                <w:tab w:val="left" w:pos="0"/>
              </w:tabs>
              <w:rPr>
                <w:i/>
                <w:sz w:val="20"/>
                <w:szCs w:val="20"/>
              </w:rPr>
            </w:pPr>
          </w:p>
          <w:p w:rsidR="00CD1F2F" w:rsidP="00CD1F2F" w:rsidRDefault="003E2EEE" w14:paraId="1B0ED3D9" w14:textId="1AC490E5">
            <w:pPr>
              <w:tabs>
                <w:tab w:val="left" w:pos="0"/>
              </w:tabs>
              <w:rPr>
                <w:i/>
                <w:sz w:val="20"/>
                <w:szCs w:val="20"/>
              </w:rPr>
            </w:pPr>
            <w:r>
              <w:rPr>
                <w:i/>
                <w:sz w:val="20"/>
                <w:szCs w:val="20"/>
              </w:rPr>
              <w:t>These numbers are estimates only. Data collection was inconsistent due to staffing changes.</w:t>
            </w:r>
          </w:p>
          <w:p w:rsidR="00BD2B83" w:rsidP="00CD1F2F" w:rsidRDefault="00BD2B83" w14:paraId="72209595" w14:textId="77777777">
            <w:pPr>
              <w:tabs>
                <w:tab w:val="left" w:pos="0"/>
              </w:tabs>
              <w:rPr>
                <w:i/>
                <w:sz w:val="20"/>
                <w:szCs w:val="20"/>
              </w:rPr>
            </w:pPr>
          </w:p>
          <w:p w:rsidRPr="00BD2B83" w:rsidR="00BD2B83" w:rsidP="00CD1F2F" w:rsidRDefault="00BD2B83" w14:paraId="67175C3A" w14:textId="063A1AE1">
            <w:pPr>
              <w:tabs>
                <w:tab w:val="left" w:pos="0"/>
              </w:tabs>
              <w:rPr>
                <w:sz w:val="20"/>
                <w:szCs w:val="20"/>
              </w:rPr>
            </w:pPr>
            <w:r w:rsidRPr="00BD2B83">
              <w:rPr>
                <w:b/>
                <w:sz w:val="20"/>
                <w:szCs w:val="20"/>
              </w:rPr>
              <w:t>Implementation of ideas</w:t>
            </w:r>
          </w:p>
          <w:p w:rsidR="00BD2B83" w:rsidP="00CD1F2F" w:rsidRDefault="00BD2B83" w14:paraId="7E25DC3D" w14:textId="1D5B0F58">
            <w:pPr>
              <w:tabs>
                <w:tab w:val="left" w:pos="0"/>
              </w:tabs>
              <w:rPr>
                <w:sz w:val="20"/>
                <w:szCs w:val="20"/>
              </w:rPr>
            </w:pPr>
            <w:r w:rsidRPr="00BD2B83">
              <w:rPr>
                <w:i/>
                <w:sz w:val="20"/>
                <w:szCs w:val="20"/>
              </w:rPr>
              <w:t xml:space="preserve">No data </w:t>
            </w:r>
            <w:r>
              <w:rPr>
                <w:i/>
                <w:sz w:val="20"/>
                <w:szCs w:val="20"/>
              </w:rPr>
              <w:t>available for AY 2016-17</w:t>
            </w:r>
          </w:p>
          <w:p w:rsidR="00BD2B83" w:rsidP="00CD1F2F" w:rsidRDefault="00BD2B83" w14:paraId="737AA111" w14:textId="77777777">
            <w:pPr>
              <w:tabs>
                <w:tab w:val="left" w:pos="0"/>
              </w:tabs>
              <w:rPr>
                <w:sz w:val="20"/>
                <w:szCs w:val="20"/>
              </w:rPr>
            </w:pPr>
          </w:p>
          <w:p w:rsidR="00BD2B83" w:rsidP="00CD1F2F" w:rsidRDefault="00BD2B83" w14:paraId="428208EE" w14:textId="119D60C4">
            <w:pPr>
              <w:tabs>
                <w:tab w:val="left" w:pos="0"/>
              </w:tabs>
              <w:rPr>
                <w:sz w:val="20"/>
                <w:szCs w:val="20"/>
              </w:rPr>
            </w:pPr>
            <w:r>
              <w:rPr>
                <w:b/>
                <w:sz w:val="20"/>
                <w:szCs w:val="20"/>
              </w:rPr>
              <w:t>Participant satisfaction</w:t>
            </w:r>
          </w:p>
          <w:p w:rsidRPr="00BD2B83" w:rsidR="00BD2B83" w:rsidP="00CD1F2F" w:rsidRDefault="00BD2B83" w14:paraId="5D95EB8F" w14:textId="5B7ABB2B">
            <w:pPr>
              <w:tabs>
                <w:tab w:val="left" w:pos="0"/>
              </w:tabs>
              <w:rPr>
                <w:i/>
                <w:sz w:val="20"/>
                <w:szCs w:val="20"/>
              </w:rPr>
            </w:pPr>
            <w:r>
              <w:rPr>
                <w:i/>
                <w:sz w:val="20"/>
                <w:szCs w:val="20"/>
              </w:rPr>
              <w:t>No data available for AY 2016-17</w:t>
            </w:r>
          </w:p>
          <w:p w:rsidRPr="00A7207E" w:rsidR="00CD1F2F" w:rsidP="00E12333" w:rsidRDefault="00CD1F2F" w14:paraId="512FBB41" w14:textId="315CFA85">
            <w:pPr>
              <w:tabs>
                <w:tab w:val="left" w:pos="0"/>
              </w:tabs>
              <w:rPr>
                <w:i/>
                <w:sz w:val="20"/>
                <w:szCs w:val="20"/>
              </w:rPr>
            </w:pPr>
          </w:p>
        </w:tc>
        <w:tc>
          <w:tcPr>
            <w:tcW w:w="3960" w:type="dxa"/>
          </w:tcPr>
          <w:p w:rsidR="00FE20C4" w:rsidP="00FE2671" w:rsidRDefault="00FE20C4" w14:paraId="6AD0AB54" w14:textId="29959F04">
            <w:pPr>
              <w:rPr>
                <w:i/>
                <w:sz w:val="20"/>
                <w:szCs w:val="20"/>
              </w:rPr>
            </w:pPr>
            <w:r>
              <w:rPr>
                <w:i/>
                <w:sz w:val="20"/>
                <w:szCs w:val="20"/>
              </w:rPr>
              <w:t>Based on interviews with faculty</w:t>
            </w:r>
            <w:r w:rsidR="0088716A">
              <w:rPr>
                <w:i/>
                <w:sz w:val="20"/>
                <w:szCs w:val="20"/>
              </w:rPr>
              <w:t xml:space="preserve"> and departments</w:t>
            </w:r>
            <w:r>
              <w:rPr>
                <w:i/>
                <w:sz w:val="20"/>
                <w:szCs w:val="20"/>
              </w:rPr>
              <w:t>, we are d</w:t>
            </w:r>
            <w:r w:rsidRPr="00FE20C4">
              <w:rPr>
                <w:i/>
                <w:sz w:val="20"/>
                <w:szCs w:val="20"/>
              </w:rPr>
              <w:t>eveloping a podcast to</w:t>
            </w:r>
            <w:r>
              <w:rPr>
                <w:i/>
                <w:sz w:val="20"/>
                <w:szCs w:val="20"/>
              </w:rPr>
              <w:t xml:space="preserve"> provide on-demand professional development programming.</w:t>
            </w:r>
            <w:r w:rsidR="00CD27F9">
              <w:rPr>
                <w:i/>
                <w:sz w:val="20"/>
                <w:szCs w:val="20"/>
              </w:rPr>
              <w:t xml:space="preserve"> Weekly emails contain teaching &amp; learning tips.</w:t>
            </w:r>
          </w:p>
          <w:p w:rsidR="0088716A" w:rsidP="00FE2671" w:rsidRDefault="0088716A" w14:paraId="7DACB453" w14:textId="77777777">
            <w:pPr>
              <w:rPr>
                <w:i/>
                <w:sz w:val="20"/>
                <w:szCs w:val="20"/>
              </w:rPr>
            </w:pPr>
          </w:p>
          <w:p w:rsidR="0088716A" w:rsidP="00FE2671" w:rsidRDefault="0088716A" w14:paraId="658EBE19" w14:textId="40504D12">
            <w:pPr>
              <w:rPr>
                <w:i/>
                <w:sz w:val="20"/>
                <w:szCs w:val="20"/>
              </w:rPr>
            </w:pPr>
            <w:r>
              <w:rPr>
                <w:i/>
                <w:sz w:val="20"/>
                <w:szCs w:val="20"/>
              </w:rPr>
              <w:t>Based on feedback from participants in certificates and one-on-one consultations, the New Faculty Orientation was revised into a course development workshop and a series of emails about teaching, learning, productivity, and University services.</w:t>
            </w:r>
          </w:p>
          <w:p w:rsidR="00FE20C4" w:rsidP="00FE2671" w:rsidRDefault="00FE20C4" w14:paraId="3BDC5E7F" w14:textId="77777777">
            <w:pPr>
              <w:rPr>
                <w:i/>
                <w:sz w:val="20"/>
                <w:szCs w:val="20"/>
              </w:rPr>
            </w:pPr>
          </w:p>
          <w:p w:rsidR="00A7207E" w:rsidP="00FE20C4" w:rsidRDefault="00FE20C4" w14:paraId="01A5603D" w14:textId="3D876A9F">
            <w:pPr>
              <w:rPr>
                <w:i/>
                <w:sz w:val="20"/>
                <w:szCs w:val="20"/>
              </w:rPr>
            </w:pPr>
            <w:r>
              <w:rPr>
                <w:i/>
                <w:sz w:val="20"/>
                <w:szCs w:val="20"/>
              </w:rPr>
              <w:t>Based on interviews with faculty, we are experimenting with polling participants to schedule events rather than setting dates in advance.</w:t>
            </w:r>
          </w:p>
          <w:p w:rsidR="00FE20C4" w:rsidP="00FE20C4" w:rsidRDefault="00FE20C4" w14:paraId="4069A940" w14:textId="77777777">
            <w:pPr>
              <w:rPr>
                <w:i/>
                <w:sz w:val="20"/>
                <w:szCs w:val="20"/>
              </w:rPr>
            </w:pPr>
          </w:p>
          <w:p w:rsidR="0088716A" w:rsidP="0088716A" w:rsidRDefault="0088716A" w14:paraId="0F122DCE" w14:textId="28CA90DF">
            <w:pPr>
              <w:rPr>
                <w:i/>
                <w:sz w:val="20"/>
                <w:szCs w:val="20"/>
              </w:rPr>
            </w:pPr>
            <w:r>
              <w:rPr>
                <w:i/>
                <w:sz w:val="20"/>
                <w:szCs w:val="20"/>
              </w:rPr>
              <w:t xml:space="preserve">Based on interviews with deans, we </w:t>
            </w:r>
            <w:r w:rsidR="00CD27F9">
              <w:rPr>
                <w:i/>
                <w:sz w:val="20"/>
                <w:szCs w:val="20"/>
              </w:rPr>
              <w:t>offer</w:t>
            </w:r>
            <w:r>
              <w:rPr>
                <w:i/>
                <w:sz w:val="20"/>
                <w:szCs w:val="20"/>
              </w:rPr>
              <w:t xml:space="preserve"> the option of customized professional development for colleges. </w:t>
            </w:r>
          </w:p>
          <w:p w:rsidR="0088716A" w:rsidP="0088716A" w:rsidRDefault="0088716A" w14:paraId="478CB169" w14:textId="77777777">
            <w:pPr>
              <w:rPr>
                <w:i/>
                <w:sz w:val="20"/>
                <w:szCs w:val="20"/>
              </w:rPr>
            </w:pPr>
          </w:p>
          <w:p w:rsidR="00FE20C4" w:rsidP="0088716A" w:rsidRDefault="0088716A" w14:paraId="1E845D78" w14:textId="77777777">
            <w:pPr>
              <w:rPr>
                <w:i/>
                <w:sz w:val="20"/>
                <w:szCs w:val="20"/>
              </w:rPr>
            </w:pPr>
            <w:r>
              <w:rPr>
                <w:i/>
                <w:sz w:val="20"/>
                <w:szCs w:val="20"/>
              </w:rPr>
              <w:t>To be more responsive to faculty, assess demand for programs, and identify areas for improvement, w</w:t>
            </w:r>
            <w:r w:rsidR="00FE20C4">
              <w:rPr>
                <w:i/>
                <w:sz w:val="20"/>
                <w:szCs w:val="20"/>
              </w:rPr>
              <w:t>e are using a “fail fast” approach to CETL programming and scheduling</w:t>
            </w:r>
            <w:r>
              <w:rPr>
                <w:i/>
                <w:sz w:val="20"/>
                <w:szCs w:val="20"/>
              </w:rPr>
              <w:t xml:space="preserve"> for 2017-18.  </w:t>
            </w:r>
          </w:p>
          <w:p w:rsidR="00C92E6F" w:rsidP="0088716A" w:rsidRDefault="00C92E6F" w14:paraId="570297FD" w14:textId="77777777">
            <w:pPr>
              <w:rPr>
                <w:i/>
                <w:sz w:val="20"/>
                <w:szCs w:val="20"/>
              </w:rPr>
            </w:pPr>
          </w:p>
          <w:p w:rsidRPr="00FE20C4" w:rsidR="00C92E6F" w:rsidP="00CD27F9" w:rsidRDefault="00CD27F9" w14:paraId="4F008DE5" w14:textId="03ECF355">
            <w:pPr>
              <w:rPr>
                <w:i/>
                <w:sz w:val="20"/>
                <w:szCs w:val="20"/>
              </w:rPr>
            </w:pPr>
            <w:r>
              <w:rPr>
                <w:i/>
                <w:sz w:val="20"/>
                <w:szCs w:val="20"/>
              </w:rPr>
              <w:t>To facilitate reporting, we are using the RST system</w:t>
            </w:r>
            <w:r w:rsidR="00C92E6F">
              <w:rPr>
                <w:i/>
                <w:sz w:val="20"/>
                <w:szCs w:val="20"/>
              </w:rPr>
              <w:t xml:space="preserve"> to </w:t>
            </w:r>
            <w:r>
              <w:rPr>
                <w:i/>
                <w:sz w:val="20"/>
                <w:szCs w:val="20"/>
              </w:rPr>
              <w:t>register and track participants</w:t>
            </w:r>
            <w:r w:rsidR="00C92E6F">
              <w:rPr>
                <w:i/>
                <w:sz w:val="20"/>
                <w:szCs w:val="20"/>
              </w:rPr>
              <w:t>.</w:t>
            </w:r>
          </w:p>
        </w:tc>
      </w:tr>
      <w:tr w:rsidRPr="005B073A" w:rsidR="00CD27F9" w:rsidTr="00CD27F9" w14:paraId="2985175D" w14:textId="77777777">
        <w:trPr>
          <w:tblHeader/>
        </w:trPr>
        <w:tc>
          <w:tcPr>
            <w:tcW w:w="2108" w:type="dxa"/>
          </w:tcPr>
          <w:p w:rsidRPr="00FA02A5" w:rsidR="00A7207E" w:rsidP="006D3ED1" w:rsidRDefault="00DD2AC8" w14:paraId="1A2E2FD4" w14:textId="7B7EF4BD">
            <w:pPr>
              <w:tabs>
                <w:tab w:val="left" w:pos="0"/>
              </w:tabs>
              <w:rPr>
                <w:b/>
                <w:sz w:val="20"/>
                <w:szCs w:val="20"/>
              </w:rPr>
            </w:pPr>
            <w:r w:rsidRPr="00FA02A5">
              <w:rPr>
                <w:b/>
                <w:sz w:val="20"/>
                <w:szCs w:val="20"/>
              </w:rPr>
              <w:lastRenderedPageBreak/>
              <w:t>ISLO</w:t>
            </w:r>
            <w:r w:rsidRPr="00FA02A5" w:rsidR="00CE1782">
              <w:rPr>
                <w:b/>
                <w:sz w:val="20"/>
                <w:szCs w:val="20"/>
              </w:rPr>
              <w:t xml:space="preserve"> 2:  Civic engagement</w:t>
            </w:r>
          </w:p>
          <w:p w:rsidR="00FA02A5" w:rsidP="006D3ED1" w:rsidRDefault="00FA02A5" w14:paraId="1A44DD18" w14:textId="77777777">
            <w:pPr>
              <w:tabs>
                <w:tab w:val="left" w:pos="0"/>
              </w:tabs>
              <w:rPr>
                <w:i/>
                <w:sz w:val="20"/>
                <w:szCs w:val="20"/>
              </w:rPr>
            </w:pPr>
          </w:p>
          <w:p w:rsidRPr="00A7207E" w:rsidR="00FA02A5" w:rsidP="006D3ED1" w:rsidRDefault="00FA02A5" w14:paraId="20A9BB18" w14:textId="1B09BE85">
            <w:pPr>
              <w:tabs>
                <w:tab w:val="left" w:pos="0"/>
              </w:tabs>
              <w:rPr>
                <w:i/>
                <w:sz w:val="20"/>
                <w:szCs w:val="20"/>
              </w:rPr>
            </w:pPr>
            <w:r>
              <w:rPr>
                <w:i/>
                <w:sz w:val="20"/>
                <w:szCs w:val="20"/>
              </w:rPr>
              <w:t>Participants</w:t>
            </w:r>
            <w:r w:rsidRPr="00FA02A5">
              <w:rPr>
                <w:i/>
                <w:sz w:val="20"/>
                <w:szCs w:val="20"/>
              </w:rPr>
              <w:t xml:space="preserve"> will demonstrate the awareness, knowledge, and skills to actively participate individually or collectively on issues of societal concern.</w:t>
            </w:r>
          </w:p>
        </w:tc>
        <w:tc>
          <w:tcPr>
            <w:tcW w:w="2108" w:type="dxa"/>
          </w:tcPr>
          <w:p w:rsidRPr="00FA02A5" w:rsidR="00A7207E" w:rsidP="00FA02A5" w:rsidRDefault="00CE1782" w14:paraId="2A7B4E3A" w14:textId="0EECCEC7">
            <w:pPr>
              <w:tabs>
                <w:tab w:val="left" w:pos="0"/>
              </w:tabs>
              <w:rPr>
                <w:i/>
                <w:sz w:val="20"/>
                <w:szCs w:val="20"/>
              </w:rPr>
            </w:pPr>
            <w:r w:rsidRPr="00FA02A5">
              <w:rPr>
                <w:i/>
                <w:sz w:val="20"/>
                <w:szCs w:val="20"/>
              </w:rPr>
              <w:t xml:space="preserve">SLO #:  </w:t>
            </w:r>
            <w:r w:rsidRPr="00FA02A5" w:rsidR="00E12333">
              <w:rPr>
                <w:i/>
                <w:sz w:val="20"/>
                <w:szCs w:val="20"/>
              </w:rPr>
              <w:t xml:space="preserve">Improve </w:t>
            </w:r>
            <w:r w:rsidRPr="00FA02A5" w:rsidR="00FA02A5">
              <w:rPr>
                <w:i/>
                <w:sz w:val="20"/>
                <w:szCs w:val="20"/>
              </w:rPr>
              <w:t xml:space="preserve">faculty and staff </w:t>
            </w:r>
            <w:r w:rsidRPr="00FA02A5" w:rsidR="00E12333">
              <w:rPr>
                <w:i/>
                <w:sz w:val="20"/>
                <w:szCs w:val="20"/>
              </w:rPr>
              <w:t>knowledge/skills in civic engagement through</w:t>
            </w:r>
            <w:r w:rsidRPr="00FA02A5" w:rsidR="00FA02A5">
              <w:rPr>
                <w:i/>
                <w:sz w:val="20"/>
                <w:szCs w:val="20"/>
              </w:rPr>
              <w:t xml:space="preserve"> discussions in</w:t>
            </w:r>
            <w:r w:rsidRPr="00FA02A5" w:rsidR="00E12333">
              <w:rPr>
                <w:i/>
                <w:sz w:val="20"/>
                <w:szCs w:val="20"/>
              </w:rPr>
              <w:t xml:space="preserve"> </w:t>
            </w:r>
            <w:r w:rsidRPr="00FA02A5" w:rsidR="00FA02A5">
              <w:rPr>
                <w:i/>
                <w:sz w:val="20"/>
                <w:szCs w:val="20"/>
              </w:rPr>
              <w:t>professional learning communities</w:t>
            </w:r>
            <w:r w:rsidR="0088716A">
              <w:rPr>
                <w:i/>
                <w:sz w:val="20"/>
                <w:szCs w:val="20"/>
              </w:rPr>
              <w:t xml:space="preserve"> (PLC)</w:t>
            </w:r>
            <w:r w:rsidRPr="00FA02A5" w:rsidR="00FA02A5">
              <w:rPr>
                <w:i/>
                <w:sz w:val="20"/>
                <w:szCs w:val="20"/>
              </w:rPr>
              <w:t>, Scholars at Work</w:t>
            </w:r>
            <w:r w:rsidR="0088716A">
              <w:rPr>
                <w:i/>
                <w:sz w:val="20"/>
                <w:szCs w:val="20"/>
              </w:rPr>
              <w:t xml:space="preserve"> (SAW)</w:t>
            </w:r>
            <w:r w:rsidRPr="00FA02A5" w:rsidR="00FA02A5">
              <w:rPr>
                <w:i/>
                <w:sz w:val="20"/>
                <w:szCs w:val="20"/>
              </w:rPr>
              <w:t xml:space="preserve"> seminars, and book discussion groups.</w:t>
            </w:r>
          </w:p>
        </w:tc>
        <w:tc>
          <w:tcPr>
            <w:tcW w:w="2109" w:type="dxa"/>
          </w:tcPr>
          <w:p w:rsidR="00FA02A5" w:rsidP="00FA02A5" w:rsidRDefault="00FA02A5" w14:paraId="3414A0AE" w14:textId="77777777">
            <w:pPr>
              <w:rPr>
                <w:i/>
                <w:sz w:val="20"/>
                <w:szCs w:val="20"/>
              </w:rPr>
            </w:pPr>
            <w:r>
              <w:rPr>
                <w:i/>
                <w:sz w:val="20"/>
                <w:szCs w:val="20"/>
              </w:rPr>
              <w:t>Participant surveys</w:t>
            </w:r>
          </w:p>
          <w:p w:rsidR="00FA02A5" w:rsidP="00FA02A5" w:rsidRDefault="00FA02A5" w14:paraId="1665026A" w14:textId="77777777">
            <w:pPr>
              <w:rPr>
                <w:i/>
                <w:sz w:val="20"/>
                <w:szCs w:val="20"/>
              </w:rPr>
            </w:pPr>
          </w:p>
          <w:p w:rsidR="00FA02A5" w:rsidP="00FA02A5" w:rsidRDefault="00FA02A5" w14:paraId="6A0782D3" w14:textId="77777777">
            <w:pPr>
              <w:rPr>
                <w:i/>
                <w:sz w:val="20"/>
                <w:szCs w:val="20"/>
              </w:rPr>
            </w:pPr>
            <w:r>
              <w:rPr>
                <w:i/>
                <w:sz w:val="20"/>
                <w:szCs w:val="20"/>
              </w:rPr>
              <w:t>Observations of participant discussions</w:t>
            </w:r>
          </w:p>
          <w:p w:rsidR="00FA02A5" w:rsidP="00FA02A5" w:rsidRDefault="00FA02A5" w14:paraId="62CFFA11" w14:textId="77777777">
            <w:pPr>
              <w:rPr>
                <w:i/>
                <w:sz w:val="20"/>
                <w:szCs w:val="20"/>
              </w:rPr>
            </w:pPr>
          </w:p>
          <w:p w:rsidR="00FA02A5" w:rsidP="00FA02A5" w:rsidRDefault="00FA02A5" w14:paraId="5A4CBFAA" w14:textId="777DE705">
            <w:pPr>
              <w:rPr>
                <w:i/>
                <w:sz w:val="20"/>
                <w:szCs w:val="20"/>
              </w:rPr>
            </w:pPr>
            <w:r>
              <w:rPr>
                <w:i/>
                <w:sz w:val="20"/>
                <w:szCs w:val="20"/>
              </w:rPr>
              <w:t>Reflections by participants in Professional Development Passports</w:t>
            </w:r>
          </w:p>
          <w:p w:rsidRPr="00A7207E" w:rsidR="00E12333" w:rsidP="00E12333" w:rsidRDefault="00E12333" w14:paraId="3975015C" w14:textId="11DDA62D">
            <w:pPr>
              <w:ind w:left="162" w:hanging="162"/>
              <w:rPr>
                <w:sz w:val="20"/>
                <w:szCs w:val="20"/>
              </w:rPr>
            </w:pPr>
          </w:p>
        </w:tc>
        <w:tc>
          <w:tcPr>
            <w:tcW w:w="2109" w:type="dxa"/>
          </w:tcPr>
          <w:p w:rsidR="00A7207E" w:rsidP="00F537F1" w:rsidRDefault="00361667" w14:paraId="519B7953" w14:textId="7C1E5B5B">
            <w:pPr>
              <w:tabs>
                <w:tab w:val="left" w:pos="0"/>
              </w:tabs>
              <w:rPr>
                <w:i/>
                <w:sz w:val="20"/>
                <w:szCs w:val="20"/>
              </w:rPr>
            </w:pPr>
            <w:r>
              <w:rPr>
                <w:i/>
                <w:sz w:val="20"/>
                <w:szCs w:val="20"/>
              </w:rPr>
              <w:t xml:space="preserve">At least </w:t>
            </w:r>
            <w:r w:rsidR="00FA02A5">
              <w:rPr>
                <w:i/>
                <w:sz w:val="20"/>
                <w:szCs w:val="20"/>
              </w:rPr>
              <w:t>15</w:t>
            </w:r>
            <w:r>
              <w:rPr>
                <w:i/>
                <w:sz w:val="20"/>
                <w:szCs w:val="20"/>
              </w:rPr>
              <w:t xml:space="preserve"> </w:t>
            </w:r>
            <w:r w:rsidR="00FA02A5">
              <w:rPr>
                <w:i/>
                <w:sz w:val="20"/>
                <w:szCs w:val="20"/>
              </w:rPr>
              <w:t>faculty and staff</w:t>
            </w:r>
            <w:r w:rsidRPr="00361667">
              <w:rPr>
                <w:i/>
                <w:sz w:val="20"/>
                <w:szCs w:val="20"/>
              </w:rPr>
              <w:t xml:space="preserve"> will participate in at least one </w:t>
            </w:r>
            <w:r w:rsidR="00FA02A5">
              <w:rPr>
                <w:i/>
                <w:sz w:val="20"/>
                <w:szCs w:val="20"/>
              </w:rPr>
              <w:t>event</w:t>
            </w:r>
            <w:r w:rsidRPr="00361667">
              <w:rPr>
                <w:i/>
                <w:sz w:val="20"/>
                <w:szCs w:val="20"/>
              </w:rPr>
              <w:t xml:space="preserve"> each semester focused </w:t>
            </w:r>
            <w:r w:rsidR="00FA02A5">
              <w:rPr>
                <w:i/>
                <w:sz w:val="20"/>
                <w:szCs w:val="20"/>
              </w:rPr>
              <w:t>civic engagement</w:t>
            </w:r>
          </w:p>
          <w:p w:rsidRPr="00A7207E" w:rsidR="00FA02A5" w:rsidP="00F537F1" w:rsidRDefault="00FA02A5" w14:paraId="58C20714" w14:textId="33A3999C">
            <w:pPr>
              <w:tabs>
                <w:tab w:val="left" w:pos="0"/>
              </w:tabs>
              <w:rPr>
                <w:sz w:val="20"/>
                <w:szCs w:val="20"/>
              </w:rPr>
            </w:pPr>
          </w:p>
        </w:tc>
        <w:tc>
          <w:tcPr>
            <w:tcW w:w="2366" w:type="dxa"/>
          </w:tcPr>
          <w:p w:rsidR="00A7207E" w:rsidP="00F537F1" w:rsidRDefault="00FE20C4" w14:paraId="5E5595C6" w14:textId="7B0B8FB0">
            <w:pPr>
              <w:tabs>
                <w:tab w:val="left" w:pos="0"/>
              </w:tabs>
              <w:rPr>
                <w:i/>
                <w:sz w:val="20"/>
                <w:szCs w:val="20"/>
              </w:rPr>
            </w:pPr>
            <w:r>
              <w:rPr>
                <w:i/>
                <w:sz w:val="20"/>
                <w:szCs w:val="20"/>
              </w:rPr>
              <w:t xml:space="preserve">8 participants in professional learning community related to civic engagement </w:t>
            </w:r>
          </w:p>
          <w:p w:rsidR="00FE20C4" w:rsidP="00F537F1" w:rsidRDefault="00FE20C4" w14:paraId="3639F1F8" w14:textId="77777777">
            <w:pPr>
              <w:tabs>
                <w:tab w:val="left" w:pos="0"/>
              </w:tabs>
              <w:rPr>
                <w:i/>
                <w:sz w:val="20"/>
                <w:szCs w:val="20"/>
              </w:rPr>
            </w:pPr>
          </w:p>
          <w:p w:rsidRPr="00361667" w:rsidR="00FE20C4" w:rsidP="00F537F1" w:rsidRDefault="00FE20C4" w14:paraId="2696703F" w14:textId="6015021A">
            <w:pPr>
              <w:tabs>
                <w:tab w:val="left" w:pos="0"/>
              </w:tabs>
              <w:rPr>
                <w:i/>
                <w:sz w:val="20"/>
                <w:szCs w:val="20"/>
              </w:rPr>
            </w:pPr>
            <w:r>
              <w:rPr>
                <w:i/>
                <w:sz w:val="20"/>
                <w:szCs w:val="20"/>
              </w:rPr>
              <w:t>40 participants in book studies related to civic engagement</w:t>
            </w:r>
          </w:p>
        </w:tc>
        <w:tc>
          <w:tcPr>
            <w:tcW w:w="3960" w:type="dxa"/>
          </w:tcPr>
          <w:p w:rsidRPr="00361667" w:rsidR="00A7207E" w:rsidP="00FE2671" w:rsidRDefault="0088716A" w14:paraId="745CDC87" w14:textId="2DC56955">
            <w:pPr>
              <w:rPr>
                <w:i/>
                <w:sz w:val="20"/>
                <w:szCs w:val="20"/>
              </w:rPr>
            </w:pPr>
            <w:r>
              <w:rPr>
                <w:i/>
                <w:sz w:val="20"/>
                <w:szCs w:val="20"/>
              </w:rPr>
              <w:t xml:space="preserve">Anecdotal information from faculty </w:t>
            </w:r>
            <w:proofErr w:type="gramStart"/>
            <w:r>
              <w:rPr>
                <w:i/>
                <w:sz w:val="20"/>
                <w:szCs w:val="20"/>
              </w:rPr>
              <w:t>suggest</w:t>
            </w:r>
            <w:proofErr w:type="gramEnd"/>
            <w:r>
              <w:rPr>
                <w:i/>
                <w:sz w:val="20"/>
                <w:szCs w:val="20"/>
              </w:rPr>
              <w:t xml:space="preserve"> these groups are thought-provoking and useful. We will continue to offer PLCs, SAWs, and book groups.</w:t>
            </w:r>
          </w:p>
        </w:tc>
      </w:tr>
    </w:tbl>
    <w:p w:rsidR="00FF40E3" w:rsidP="00473E8E" w:rsidRDefault="00473E8E" w14:paraId="71DE090C" w14:textId="68740639">
      <w:pPr>
        <w:pStyle w:val="PlainText"/>
        <w:tabs>
          <w:tab w:val="left" w:pos="360"/>
        </w:tabs>
        <w:ind w:left="-900"/>
        <w:rPr>
          <w:rFonts w:ascii="Times New Roman" w:hAnsi="Times New Roman" w:cs="Times New Roman"/>
          <w:i/>
          <w:iCs/>
          <w:sz w:val="22"/>
          <w:szCs w:val="22"/>
        </w:rPr>
      </w:pPr>
      <w:r>
        <w:rPr>
          <w:rFonts w:ascii="Times New Roman" w:hAnsi="Times New Roman" w:cs="Times New Roman"/>
          <w:i/>
          <w:iCs/>
          <w:sz w:val="22"/>
          <w:szCs w:val="22"/>
        </w:rPr>
        <w:t xml:space="preserve">*Add more columns as needed. </w:t>
      </w:r>
    </w:p>
    <w:p w:rsidR="0088716A" w:rsidP="001B529F" w:rsidRDefault="0088716A" w14:paraId="434DE9C2" w14:textId="77777777">
      <w:pPr>
        <w:pStyle w:val="PlainText"/>
        <w:tabs>
          <w:tab w:val="left" w:pos="360"/>
        </w:tabs>
        <w:rPr>
          <w:rFonts w:ascii="Times New Roman" w:hAnsi="Times New Roman" w:cs="Times New Roman"/>
          <w:sz w:val="24"/>
          <w:szCs w:val="24"/>
        </w:rPr>
        <w:sectPr w:rsidR="0088716A" w:rsidSect="005716A6">
          <w:pgSz w:w="15840" w:h="12240" w:orient="landscape"/>
          <w:pgMar w:top="1440" w:right="1440" w:bottom="1440" w:left="1440" w:header="720" w:footer="720" w:gutter="0"/>
          <w:cols w:space="720"/>
          <w:docGrid w:linePitch="360"/>
        </w:sectPr>
      </w:pPr>
    </w:p>
    <w:p w:rsidRPr="00A71BE0" w:rsidR="00A71BE0" w:rsidP="001B529F" w:rsidRDefault="00A71BE0" w14:paraId="6E0E0F63" w14:textId="0966AED5">
      <w:pPr>
        <w:pStyle w:val="PlainText"/>
        <w:tabs>
          <w:tab w:val="left" w:pos="360"/>
        </w:tabs>
        <w:rPr>
          <w:rFonts w:ascii="Times New Roman" w:hAnsi="Times New Roman" w:cs="Times New Roman"/>
          <w:sz w:val="24"/>
          <w:szCs w:val="24"/>
        </w:rPr>
      </w:pPr>
    </w:p>
    <w:p w:rsidR="004C5706" w:rsidP="004C5706" w:rsidRDefault="003B3C54" w14:paraId="2C7136E3" w14:textId="77777777">
      <w:pPr>
        <w:pStyle w:val="PlainText"/>
        <w:numPr>
          <w:ilvl w:val="0"/>
          <w:numId w:val="4"/>
        </w:numPr>
        <w:tabs>
          <w:tab w:val="left" w:pos="540"/>
        </w:tabs>
        <w:ind w:left="540" w:hanging="540"/>
        <w:rPr>
          <w:rFonts w:ascii="Times New Roman" w:hAnsi="Times New Roman" w:cs="Times New Roman"/>
          <w:sz w:val="24"/>
          <w:szCs w:val="24"/>
        </w:rPr>
      </w:pPr>
      <w:r w:rsidRPr="004C5706">
        <w:rPr>
          <w:rFonts w:ascii="Times New Roman" w:hAnsi="Times New Roman" w:cs="Times New Roman"/>
          <w:sz w:val="24"/>
          <w:szCs w:val="24"/>
        </w:rPr>
        <w:t>Expectations and initiatives for upcoming year</w:t>
      </w:r>
      <w:r w:rsidR="004C5706">
        <w:rPr>
          <w:rFonts w:ascii="Times New Roman" w:hAnsi="Times New Roman" w:cs="Times New Roman"/>
          <w:sz w:val="24"/>
          <w:szCs w:val="24"/>
        </w:rPr>
        <w:t>:</w:t>
      </w:r>
    </w:p>
    <w:p w:rsidR="00840A41" w:rsidP="00F278B7" w:rsidRDefault="00634E86" w14:paraId="0E5367ED" w14:textId="77777777">
      <w:pPr>
        <w:pStyle w:val="PlainText"/>
        <w:tabs>
          <w:tab w:val="left" w:pos="540"/>
        </w:tabs>
        <w:ind w:left="540"/>
        <w:rPr>
          <w:rFonts w:ascii="Times New Roman" w:hAnsi="Times New Roman" w:cs="Times New Roman"/>
          <w:sz w:val="24"/>
          <w:szCs w:val="24"/>
        </w:rPr>
      </w:pPr>
      <w:r w:rsidRPr="004C5706">
        <w:rPr>
          <w:rFonts w:ascii="Times New Roman" w:hAnsi="Times New Roman" w:cs="Times New Roman"/>
          <w:sz w:val="24"/>
          <w:szCs w:val="24"/>
        </w:rPr>
        <w:t>List the goals you have for y</w:t>
      </w:r>
      <w:r w:rsidR="004C5706">
        <w:rPr>
          <w:rFonts w:ascii="Times New Roman" w:hAnsi="Times New Roman" w:cs="Times New Roman"/>
          <w:sz w:val="24"/>
          <w:szCs w:val="24"/>
        </w:rPr>
        <w:t>our unit for the following year (l</w:t>
      </w:r>
      <w:r w:rsidRPr="004C5706">
        <w:rPr>
          <w:rFonts w:ascii="Times New Roman" w:hAnsi="Times New Roman" w:cs="Times New Roman"/>
          <w:sz w:val="24"/>
          <w:szCs w:val="24"/>
        </w:rPr>
        <w:t xml:space="preserve">ist goals with </w:t>
      </w:r>
      <w:r w:rsidRPr="004C5706" w:rsidR="00F7672D">
        <w:rPr>
          <w:rFonts w:ascii="Times New Roman" w:hAnsi="Times New Roman" w:cs="Times New Roman"/>
          <w:sz w:val="24"/>
          <w:szCs w:val="24"/>
        </w:rPr>
        <w:t>a brief</w:t>
      </w:r>
      <w:r w:rsidRPr="004C5706">
        <w:rPr>
          <w:rFonts w:ascii="Times New Roman" w:hAnsi="Times New Roman" w:cs="Times New Roman"/>
          <w:sz w:val="24"/>
          <w:szCs w:val="24"/>
        </w:rPr>
        <w:t xml:space="preserve"> description</w:t>
      </w:r>
      <w:r w:rsidR="004C5706">
        <w:rPr>
          <w:rFonts w:ascii="Times New Roman" w:hAnsi="Times New Roman" w:cs="Times New Roman"/>
          <w:sz w:val="24"/>
          <w:szCs w:val="24"/>
        </w:rPr>
        <w:t>)</w:t>
      </w:r>
      <w:r w:rsidRPr="004C5706">
        <w:rPr>
          <w:rFonts w:ascii="Times New Roman" w:hAnsi="Times New Roman" w:cs="Times New Roman"/>
          <w:sz w:val="24"/>
          <w:szCs w:val="24"/>
        </w:rPr>
        <w:t>.</w:t>
      </w:r>
    </w:p>
    <w:p w:rsidR="00F278B7" w:rsidP="00F278B7" w:rsidRDefault="00F278B7" w14:paraId="6F7345A0" w14:textId="77777777">
      <w:pPr>
        <w:pStyle w:val="PlainText"/>
        <w:tabs>
          <w:tab w:val="left" w:pos="360"/>
        </w:tabs>
        <w:ind w:left="360"/>
        <w:rPr>
          <w:rFonts w:ascii="Times New Roman" w:hAnsi="Times New Roman" w:cs="Times New Roman"/>
          <w:sz w:val="22"/>
          <w:szCs w:val="22"/>
        </w:rPr>
      </w:pPr>
    </w:p>
    <w:p w:rsidR="00F278B7" w:rsidP="00F278B7" w:rsidRDefault="00F278B7" w14:paraId="42510169" w14:textId="77777777">
      <w:pPr>
        <w:pStyle w:val="PlainText"/>
        <w:tabs>
          <w:tab w:val="left" w:pos="360"/>
        </w:tabs>
        <w:ind w:left="360"/>
        <w:rPr>
          <w:rFonts w:ascii="Times New Roman" w:hAnsi="Times New Roman" w:cs="Times New Roman"/>
          <w:sz w:val="22"/>
          <w:szCs w:val="22"/>
        </w:rPr>
      </w:pPr>
      <w:r>
        <w:rPr>
          <w:rFonts w:ascii="Times New Roman" w:hAnsi="Times New Roman" w:cs="Times New Roman"/>
          <w:sz w:val="22"/>
          <w:szCs w:val="22"/>
        </w:rPr>
        <w:t xml:space="preserve">Dr. Veltsos spent the spring 2017 semester conducting a needs analysis for CETL by reviewing existing programming, reviewing procedures, and meeting with stakeholders (members of Cabinet and Extended Cabinet, Council of Deans, departments, and individuals) about their goals and ideas for ways that CETL can support teaching and learning. The results of this research identified four areas of focus for the 2017-18 year: </w:t>
      </w:r>
    </w:p>
    <w:p w:rsidR="00F278B7" w:rsidP="00F278B7" w:rsidRDefault="00F278B7" w14:paraId="34430662" w14:textId="77777777">
      <w:pPr>
        <w:pStyle w:val="PlainText"/>
        <w:tabs>
          <w:tab w:val="left" w:pos="360"/>
        </w:tabs>
        <w:ind w:left="360"/>
        <w:rPr>
          <w:rFonts w:ascii="Times New Roman" w:hAnsi="Times New Roman" w:cs="Times New Roman"/>
          <w:sz w:val="22"/>
          <w:szCs w:val="22"/>
        </w:rPr>
      </w:pPr>
    </w:p>
    <w:p w:rsidR="00F278B7" w:rsidP="00F278B7" w:rsidRDefault="00F278B7" w14:paraId="103D6A13" w14:textId="63E81353">
      <w:pPr>
        <w:pStyle w:val="PlainText"/>
        <w:numPr>
          <w:ilvl w:val="0"/>
          <w:numId w:val="18"/>
        </w:numPr>
        <w:tabs>
          <w:tab w:val="left" w:pos="360"/>
        </w:tabs>
        <w:ind w:left="720"/>
        <w:rPr>
          <w:rFonts w:ascii="Times New Roman" w:hAnsi="Times New Roman" w:cs="Times New Roman"/>
          <w:sz w:val="22"/>
          <w:szCs w:val="22"/>
        </w:rPr>
      </w:pPr>
      <w:r>
        <w:rPr>
          <w:rFonts w:ascii="Times New Roman" w:hAnsi="Times New Roman" w:cs="Times New Roman"/>
          <w:sz w:val="22"/>
          <w:szCs w:val="22"/>
        </w:rPr>
        <w:t>Continue to develop and diversify CETL programming.</w:t>
      </w:r>
    </w:p>
    <w:p w:rsidR="00F278B7" w:rsidP="00F278B7" w:rsidRDefault="00F278B7" w14:paraId="261A02AE" w14:textId="5791DA12">
      <w:pPr>
        <w:pStyle w:val="PlainText"/>
        <w:numPr>
          <w:ilvl w:val="1"/>
          <w:numId w:val="18"/>
        </w:numPr>
        <w:tabs>
          <w:tab w:val="left" w:pos="360"/>
        </w:tabs>
        <w:rPr>
          <w:rFonts w:ascii="Times New Roman" w:hAnsi="Times New Roman" w:cs="Times New Roman"/>
          <w:sz w:val="22"/>
          <w:szCs w:val="22"/>
        </w:rPr>
      </w:pPr>
      <w:r>
        <w:rPr>
          <w:rFonts w:ascii="Times New Roman" w:hAnsi="Times New Roman" w:cs="Times New Roman"/>
          <w:sz w:val="22"/>
          <w:szCs w:val="22"/>
        </w:rPr>
        <w:t>Develop a procedure for online course observations through SCOT and peer faculty consulting.</w:t>
      </w:r>
    </w:p>
    <w:p w:rsidR="00F278B7" w:rsidP="00F278B7" w:rsidRDefault="00F278B7" w14:paraId="10309278" w14:textId="326FC8E1">
      <w:pPr>
        <w:pStyle w:val="PlainText"/>
        <w:numPr>
          <w:ilvl w:val="1"/>
          <w:numId w:val="18"/>
        </w:numPr>
        <w:tabs>
          <w:tab w:val="left" w:pos="360"/>
        </w:tabs>
        <w:rPr>
          <w:rFonts w:ascii="Times New Roman" w:hAnsi="Times New Roman" w:cs="Times New Roman"/>
          <w:sz w:val="22"/>
          <w:szCs w:val="22"/>
        </w:rPr>
      </w:pPr>
      <w:r>
        <w:rPr>
          <w:rFonts w:ascii="Times New Roman" w:hAnsi="Times New Roman" w:cs="Times New Roman"/>
          <w:sz w:val="22"/>
          <w:szCs w:val="22"/>
        </w:rPr>
        <w:t>Develop new professional learning communities for online teachers, second year faculty, and mid-career (post tenure) faculty.</w:t>
      </w:r>
    </w:p>
    <w:p w:rsidR="00F278B7" w:rsidP="00F278B7" w:rsidRDefault="00F278B7" w14:paraId="4EE58E53" w14:textId="2338A7EE">
      <w:pPr>
        <w:pStyle w:val="PlainText"/>
        <w:numPr>
          <w:ilvl w:val="1"/>
          <w:numId w:val="18"/>
        </w:numPr>
        <w:tabs>
          <w:tab w:val="left" w:pos="360"/>
        </w:tabs>
        <w:rPr>
          <w:rFonts w:ascii="Times New Roman" w:hAnsi="Times New Roman" w:cs="Times New Roman"/>
          <w:sz w:val="22"/>
          <w:szCs w:val="22"/>
        </w:rPr>
      </w:pPr>
      <w:r>
        <w:rPr>
          <w:rFonts w:ascii="Times New Roman" w:hAnsi="Times New Roman" w:cs="Times New Roman"/>
          <w:sz w:val="22"/>
          <w:szCs w:val="22"/>
        </w:rPr>
        <w:t>Revise an existing professional learning community to focus exclusively on first year faculty and emphasize instructional design and university services.</w:t>
      </w:r>
    </w:p>
    <w:p w:rsidR="00F278B7" w:rsidP="00F278B7" w:rsidRDefault="00F278B7" w14:paraId="72A9D9FD" w14:textId="791CA5A2">
      <w:pPr>
        <w:pStyle w:val="PlainText"/>
        <w:numPr>
          <w:ilvl w:val="1"/>
          <w:numId w:val="18"/>
        </w:numPr>
        <w:tabs>
          <w:tab w:val="left" w:pos="360"/>
        </w:tabs>
        <w:rPr>
          <w:rFonts w:ascii="Times New Roman" w:hAnsi="Times New Roman" w:cs="Times New Roman"/>
          <w:sz w:val="22"/>
          <w:szCs w:val="22"/>
        </w:rPr>
      </w:pPr>
      <w:r>
        <w:rPr>
          <w:rFonts w:ascii="Times New Roman" w:hAnsi="Times New Roman" w:cs="Times New Roman"/>
          <w:sz w:val="22"/>
          <w:szCs w:val="22"/>
        </w:rPr>
        <w:t>Create a bi-weekly podcast about teaching, learning, and technology with the instructional designers.</w:t>
      </w:r>
    </w:p>
    <w:p w:rsidR="00DE75D4" w:rsidP="00F278B7" w:rsidRDefault="00DE75D4" w14:paraId="061E11F1" w14:textId="4AA30D50">
      <w:pPr>
        <w:pStyle w:val="PlainText"/>
        <w:numPr>
          <w:ilvl w:val="1"/>
          <w:numId w:val="18"/>
        </w:numPr>
        <w:tabs>
          <w:tab w:val="left" w:pos="360"/>
        </w:tabs>
        <w:rPr>
          <w:rFonts w:ascii="Times New Roman" w:hAnsi="Times New Roman" w:cs="Times New Roman"/>
          <w:sz w:val="22"/>
          <w:szCs w:val="22"/>
        </w:rPr>
      </w:pPr>
      <w:r>
        <w:rPr>
          <w:rFonts w:ascii="Times New Roman" w:hAnsi="Times New Roman" w:cs="Times New Roman"/>
          <w:sz w:val="22"/>
          <w:szCs w:val="22"/>
        </w:rPr>
        <w:t>Develop instructional design and teaching support for adjunct faculty.</w:t>
      </w:r>
    </w:p>
    <w:p w:rsidR="00F278B7" w:rsidP="00F278B7" w:rsidRDefault="00F278B7" w14:paraId="1F1B1294" w14:textId="593A3C74">
      <w:pPr>
        <w:pStyle w:val="PlainText"/>
        <w:numPr>
          <w:ilvl w:val="0"/>
          <w:numId w:val="18"/>
        </w:numPr>
        <w:tabs>
          <w:tab w:val="left" w:pos="360"/>
        </w:tabs>
        <w:ind w:left="720"/>
        <w:rPr>
          <w:rFonts w:ascii="Times New Roman" w:hAnsi="Times New Roman" w:cs="Times New Roman"/>
          <w:sz w:val="22"/>
          <w:szCs w:val="22"/>
        </w:rPr>
      </w:pPr>
      <w:r>
        <w:rPr>
          <w:rFonts w:ascii="Times New Roman" w:hAnsi="Times New Roman" w:cs="Times New Roman"/>
          <w:sz w:val="22"/>
          <w:szCs w:val="22"/>
        </w:rPr>
        <w:t>Improve communication and promotion of CETL programs.</w:t>
      </w:r>
    </w:p>
    <w:p w:rsidRPr="00BF0893" w:rsidR="00BF0893" w:rsidP="00BF0893" w:rsidRDefault="00BF0893" w14:paraId="4A9DC25E" w14:textId="19789234">
      <w:pPr>
        <w:pStyle w:val="PlainText"/>
        <w:numPr>
          <w:ilvl w:val="1"/>
          <w:numId w:val="18"/>
        </w:numPr>
        <w:tabs>
          <w:tab w:val="left" w:pos="360"/>
        </w:tabs>
        <w:rPr>
          <w:rFonts w:ascii="Times New Roman" w:hAnsi="Times New Roman" w:cs="Times New Roman"/>
          <w:sz w:val="22"/>
          <w:szCs w:val="22"/>
        </w:rPr>
      </w:pPr>
      <w:r>
        <w:rPr>
          <w:rFonts w:ascii="Times New Roman" w:hAnsi="Times New Roman" w:cs="Times New Roman"/>
          <w:sz w:val="22"/>
          <w:szCs w:val="22"/>
        </w:rPr>
        <w:t>Increase participation in CETL events by promoting the ability to participate using Telepresence or video conference software.</w:t>
      </w:r>
    </w:p>
    <w:p w:rsidR="00F278B7" w:rsidP="30C934BB" w:rsidRDefault="00497C98" w14:paraId="4F8F1B98" w14:textId="16FAC4F2">
      <w:pPr>
        <w:pStyle w:val="PlainText"/>
        <w:numPr>
          <w:ilvl w:val="1"/>
          <w:numId w:val="18"/>
        </w:numPr>
        <w:tabs>
          <w:tab w:val="left" w:pos="360"/>
        </w:tabs>
        <w:rPr>
          <w:rFonts w:ascii="Times New Roman" w:hAnsi="Times New Roman" w:cs="Times New Roman"/>
          <w:sz w:val="22"/>
          <w:szCs w:val="22"/>
        </w:rPr>
      </w:pPr>
      <w:r w:rsidRPr="30C934BB" w:rsidR="00497C98">
        <w:rPr>
          <w:rFonts w:ascii="Times New Roman" w:hAnsi="Times New Roman" w:cs="Times New Roman"/>
          <w:sz w:val="22"/>
          <w:szCs w:val="22"/>
        </w:rPr>
        <w:t>Increase participation and “push” professional development to faculty and staff by r</w:t>
      </w:r>
      <w:r w:rsidRPr="30C934BB" w:rsidR="00F278B7">
        <w:rPr>
          <w:rFonts w:ascii="Times New Roman" w:hAnsi="Times New Roman" w:cs="Times New Roman"/>
          <w:sz w:val="22"/>
          <w:szCs w:val="22"/>
        </w:rPr>
        <w:t>evis</w:t>
      </w:r>
      <w:r w:rsidRPr="30C934BB" w:rsidR="00497C98">
        <w:rPr>
          <w:rFonts w:ascii="Times New Roman" w:hAnsi="Times New Roman" w:cs="Times New Roman"/>
          <w:sz w:val="22"/>
          <w:szCs w:val="22"/>
        </w:rPr>
        <w:t>ing</w:t>
      </w:r>
      <w:r w:rsidRPr="30C934BB" w:rsidR="00F278B7">
        <w:rPr>
          <w:rFonts w:ascii="Times New Roman" w:hAnsi="Times New Roman" w:cs="Times New Roman"/>
          <w:sz w:val="22"/>
          <w:szCs w:val="22"/>
        </w:rPr>
        <w:t xml:space="preserve"> the</w:t>
      </w:r>
      <w:r w:rsidRPr="30C934BB" w:rsidR="00F278B7">
        <w:rPr>
          <w:rFonts w:ascii="Times New Roman" w:hAnsi="Times New Roman" w:cs="Times New Roman"/>
          <w:sz w:val="22"/>
          <w:szCs w:val="22"/>
        </w:rPr>
        <w:t xml:space="preserve"> weekly CETL email blasts to include teaching and learning tips (including tips that are appropriate for staff as well as faculty), descriptions</w:t>
      </w:r>
      <w:r w:rsidRPr="30C934BB" w:rsidR="00497C98">
        <w:rPr>
          <w:rFonts w:ascii="Times New Roman" w:hAnsi="Times New Roman" w:cs="Times New Roman"/>
          <w:sz w:val="22"/>
          <w:szCs w:val="22"/>
        </w:rPr>
        <w:t xml:space="preserve"> of programs</w:t>
      </w:r>
      <w:r w:rsidRPr="30C934BB" w:rsidR="00F278B7">
        <w:rPr>
          <w:rFonts w:ascii="Times New Roman" w:hAnsi="Times New Roman" w:cs="Times New Roman"/>
          <w:sz w:val="22"/>
          <w:szCs w:val="22"/>
        </w:rPr>
        <w:t xml:space="preserve">, direct links to registration, information about internal and external opportunities beyond CETL, and using an informal, conversational tone. </w:t>
      </w:r>
    </w:p>
    <w:p w:rsidRPr="00F278B7" w:rsidR="00F278B7" w:rsidP="00F278B7" w:rsidRDefault="00497C98" w14:paraId="37EAE82C" w14:textId="078BA1DB">
      <w:pPr>
        <w:pStyle w:val="PlainText"/>
        <w:numPr>
          <w:ilvl w:val="1"/>
          <w:numId w:val="18"/>
        </w:numPr>
        <w:tabs>
          <w:tab w:val="left" w:pos="360"/>
        </w:tabs>
        <w:rPr>
          <w:rFonts w:ascii="Times New Roman" w:hAnsi="Times New Roman" w:cs="Times New Roman"/>
          <w:sz w:val="22"/>
          <w:szCs w:val="22"/>
        </w:rPr>
      </w:pPr>
      <w:r>
        <w:rPr>
          <w:rFonts w:ascii="Times New Roman" w:hAnsi="Times New Roman" w:cs="Times New Roman"/>
          <w:sz w:val="22"/>
          <w:szCs w:val="22"/>
        </w:rPr>
        <w:t>Create opportunities for professional development on demand by u</w:t>
      </w:r>
      <w:r w:rsidR="00F278B7">
        <w:rPr>
          <w:rFonts w:ascii="Times New Roman" w:hAnsi="Times New Roman" w:cs="Times New Roman"/>
          <w:sz w:val="22"/>
          <w:szCs w:val="22"/>
        </w:rPr>
        <w:t>pdat</w:t>
      </w:r>
      <w:r>
        <w:rPr>
          <w:rFonts w:ascii="Times New Roman" w:hAnsi="Times New Roman" w:cs="Times New Roman"/>
          <w:sz w:val="22"/>
          <w:szCs w:val="22"/>
        </w:rPr>
        <w:t>ing the content of</w:t>
      </w:r>
      <w:r w:rsidR="00F278B7">
        <w:rPr>
          <w:rFonts w:ascii="Times New Roman" w:hAnsi="Times New Roman" w:cs="Times New Roman"/>
          <w:sz w:val="22"/>
          <w:szCs w:val="22"/>
        </w:rPr>
        <w:t xml:space="preserve"> the CETL website.</w:t>
      </w:r>
    </w:p>
    <w:p w:rsidR="00F278B7" w:rsidP="00F278B7" w:rsidRDefault="00F278B7" w14:paraId="6CA469AA" w14:textId="338565E9">
      <w:pPr>
        <w:pStyle w:val="PlainText"/>
        <w:numPr>
          <w:ilvl w:val="0"/>
          <w:numId w:val="18"/>
        </w:numPr>
        <w:tabs>
          <w:tab w:val="left" w:pos="360"/>
        </w:tabs>
        <w:ind w:left="720"/>
        <w:rPr>
          <w:rFonts w:ascii="Times New Roman" w:hAnsi="Times New Roman" w:cs="Times New Roman"/>
          <w:sz w:val="22"/>
          <w:szCs w:val="22"/>
        </w:rPr>
      </w:pPr>
      <w:r>
        <w:rPr>
          <w:rFonts w:ascii="Times New Roman" w:hAnsi="Times New Roman" w:cs="Times New Roman"/>
          <w:sz w:val="22"/>
          <w:szCs w:val="22"/>
        </w:rPr>
        <w:t>Collaborate and cooperate with the other service areas located in ML 88</w:t>
      </w:r>
      <w:r w:rsidR="006C19E3">
        <w:rPr>
          <w:rFonts w:ascii="Times New Roman" w:hAnsi="Times New Roman" w:cs="Times New Roman"/>
          <w:sz w:val="22"/>
          <w:szCs w:val="22"/>
        </w:rPr>
        <w:t xml:space="preserve"> and across the university</w:t>
      </w:r>
      <w:r>
        <w:rPr>
          <w:rFonts w:ascii="Times New Roman" w:hAnsi="Times New Roman" w:cs="Times New Roman"/>
          <w:sz w:val="22"/>
          <w:szCs w:val="22"/>
        </w:rPr>
        <w:t>.</w:t>
      </w:r>
    </w:p>
    <w:p w:rsidR="000C4C56" w:rsidP="00F278B7" w:rsidRDefault="000C4C56" w14:paraId="1DD3154C" w14:textId="43B8E654">
      <w:pPr>
        <w:pStyle w:val="PlainText"/>
        <w:numPr>
          <w:ilvl w:val="1"/>
          <w:numId w:val="18"/>
        </w:numPr>
        <w:tabs>
          <w:tab w:val="left" w:pos="360"/>
        </w:tabs>
        <w:rPr>
          <w:rFonts w:ascii="Times New Roman" w:hAnsi="Times New Roman" w:cs="Times New Roman"/>
          <w:sz w:val="22"/>
          <w:szCs w:val="22"/>
        </w:rPr>
      </w:pPr>
      <w:r>
        <w:rPr>
          <w:rFonts w:ascii="Times New Roman" w:hAnsi="Times New Roman" w:cs="Times New Roman"/>
          <w:sz w:val="22"/>
          <w:szCs w:val="22"/>
        </w:rPr>
        <w:t>Encourage the other service areas in ML 88 to use</w:t>
      </w:r>
      <w:r w:rsidR="00F278B7">
        <w:rPr>
          <w:rFonts w:ascii="Times New Roman" w:hAnsi="Times New Roman" w:cs="Times New Roman"/>
          <w:sz w:val="22"/>
          <w:szCs w:val="22"/>
        </w:rPr>
        <w:t xml:space="preserve"> </w:t>
      </w:r>
      <w:r>
        <w:rPr>
          <w:rFonts w:ascii="Times New Roman" w:hAnsi="Times New Roman" w:cs="Times New Roman"/>
          <w:sz w:val="22"/>
          <w:szCs w:val="22"/>
        </w:rPr>
        <w:t>RST</w:t>
      </w:r>
      <w:r w:rsidR="00F278B7">
        <w:rPr>
          <w:rFonts w:ascii="Times New Roman" w:hAnsi="Times New Roman" w:cs="Times New Roman"/>
          <w:sz w:val="22"/>
          <w:szCs w:val="22"/>
        </w:rPr>
        <w:t xml:space="preserve"> for program registrations, </w:t>
      </w:r>
      <w:r>
        <w:rPr>
          <w:rFonts w:ascii="Times New Roman" w:hAnsi="Times New Roman" w:cs="Times New Roman"/>
          <w:sz w:val="22"/>
          <w:szCs w:val="22"/>
        </w:rPr>
        <w:t xml:space="preserve">which will facilitate tracking enrollment and attendance for planning and reporting. </w:t>
      </w:r>
    </w:p>
    <w:p w:rsidR="00F278B7" w:rsidP="00F278B7" w:rsidRDefault="000C4C56" w14:paraId="5B0B3940" w14:textId="09466987">
      <w:pPr>
        <w:pStyle w:val="PlainText"/>
        <w:numPr>
          <w:ilvl w:val="1"/>
          <w:numId w:val="18"/>
        </w:numPr>
        <w:tabs>
          <w:tab w:val="left" w:pos="360"/>
        </w:tabs>
        <w:rPr>
          <w:rFonts w:ascii="Times New Roman" w:hAnsi="Times New Roman" w:cs="Times New Roman"/>
          <w:sz w:val="22"/>
          <w:szCs w:val="22"/>
        </w:rPr>
      </w:pPr>
      <w:r>
        <w:rPr>
          <w:rFonts w:ascii="Times New Roman" w:hAnsi="Times New Roman" w:cs="Times New Roman"/>
          <w:sz w:val="22"/>
          <w:szCs w:val="22"/>
        </w:rPr>
        <w:t xml:space="preserve">Assist Continuing and Professional Education with annual reporting using RST data. </w:t>
      </w:r>
      <w:r w:rsidR="00F278B7">
        <w:rPr>
          <w:rFonts w:ascii="Times New Roman" w:hAnsi="Times New Roman" w:cs="Times New Roman"/>
          <w:sz w:val="22"/>
          <w:szCs w:val="22"/>
        </w:rPr>
        <w:t xml:space="preserve">  </w:t>
      </w:r>
    </w:p>
    <w:p w:rsidR="000C4C56" w:rsidP="00F278B7" w:rsidRDefault="00BF0893" w14:paraId="6D4B08CD" w14:textId="3AEDBCB7">
      <w:pPr>
        <w:pStyle w:val="PlainText"/>
        <w:numPr>
          <w:ilvl w:val="1"/>
          <w:numId w:val="18"/>
        </w:numPr>
        <w:tabs>
          <w:tab w:val="left" w:pos="360"/>
        </w:tabs>
        <w:rPr>
          <w:rFonts w:ascii="Times New Roman" w:hAnsi="Times New Roman" w:cs="Times New Roman"/>
          <w:sz w:val="22"/>
          <w:szCs w:val="22"/>
        </w:rPr>
      </w:pPr>
      <w:r>
        <w:rPr>
          <w:rFonts w:ascii="Times New Roman" w:hAnsi="Times New Roman" w:cs="Times New Roman"/>
          <w:sz w:val="22"/>
          <w:szCs w:val="22"/>
        </w:rPr>
        <w:t>Develop programming in collaboration with the other service areas in ML 88.</w:t>
      </w:r>
    </w:p>
    <w:p w:rsidR="00F278B7" w:rsidP="00F278B7" w:rsidRDefault="00F278B7" w14:paraId="7A769DE8" w14:textId="4647D393">
      <w:pPr>
        <w:pStyle w:val="PlainText"/>
        <w:numPr>
          <w:ilvl w:val="0"/>
          <w:numId w:val="18"/>
        </w:numPr>
        <w:tabs>
          <w:tab w:val="left" w:pos="360"/>
        </w:tabs>
        <w:ind w:left="720"/>
        <w:rPr>
          <w:rFonts w:ascii="Times New Roman" w:hAnsi="Times New Roman" w:cs="Times New Roman"/>
          <w:sz w:val="22"/>
          <w:szCs w:val="22"/>
        </w:rPr>
      </w:pPr>
      <w:r>
        <w:rPr>
          <w:rFonts w:ascii="Times New Roman" w:hAnsi="Times New Roman" w:cs="Times New Roman"/>
          <w:sz w:val="22"/>
          <w:szCs w:val="22"/>
        </w:rPr>
        <w:t xml:space="preserve">Document CETL activities and procedures into a handbook that will facilitate transition between directors. </w:t>
      </w:r>
    </w:p>
    <w:p w:rsidR="00497C98" w:rsidP="00497C98" w:rsidRDefault="00497C98" w14:paraId="7979E19B" w14:textId="07FD06E3">
      <w:pPr>
        <w:pStyle w:val="PlainText"/>
        <w:numPr>
          <w:ilvl w:val="1"/>
          <w:numId w:val="18"/>
        </w:numPr>
        <w:tabs>
          <w:tab w:val="left" w:pos="360"/>
        </w:tabs>
        <w:rPr>
          <w:rFonts w:ascii="Times New Roman" w:hAnsi="Times New Roman" w:cs="Times New Roman"/>
          <w:sz w:val="22"/>
          <w:szCs w:val="22"/>
        </w:rPr>
      </w:pPr>
      <w:r>
        <w:rPr>
          <w:rFonts w:ascii="Times New Roman" w:hAnsi="Times New Roman" w:cs="Times New Roman"/>
          <w:sz w:val="22"/>
          <w:szCs w:val="22"/>
        </w:rPr>
        <w:t xml:space="preserve">Document procedures for peer observations, PLC and book group facilitation. </w:t>
      </w:r>
    </w:p>
    <w:p w:rsidR="00497C98" w:rsidP="00497C98" w:rsidRDefault="00497C98" w14:paraId="4CE1A829" w14:textId="565E2112">
      <w:pPr>
        <w:pStyle w:val="PlainText"/>
        <w:numPr>
          <w:ilvl w:val="1"/>
          <w:numId w:val="18"/>
        </w:numPr>
        <w:tabs>
          <w:tab w:val="left" w:pos="360"/>
        </w:tabs>
        <w:rPr>
          <w:rFonts w:ascii="Times New Roman" w:hAnsi="Times New Roman" w:cs="Times New Roman"/>
          <w:sz w:val="22"/>
          <w:szCs w:val="22"/>
        </w:rPr>
      </w:pPr>
      <w:r>
        <w:rPr>
          <w:rFonts w:ascii="Times New Roman" w:hAnsi="Times New Roman" w:cs="Times New Roman"/>
          <w:sz w:val="22"/>
          <w:szCs w:val="22"/>
        </w:rPr>
        <w:t>Improve accuracy of data reporting within CETL and with Continuing and Professional Education using the RST registration system.</w:t>
      </w:r>
    </w:p>
    <w:p w:rsidR="00527A1A" w:rsidP="00F278B7" w:rsidRDefault="00527A1A" w14:paraId="6C91B6AD" w14:textId="4C8C8F95">
      <w:pPr>
        <w:pStyle w:val="PlainText"/>
        <w:numPr>
          <w:ilvl w:val="0"/>
          <w:numId w:val="18"/>
        </w:numPr>
        <w:tabs>
          <w:tab w:val="left" w:pos="360"/>
        </w:tabs>
        <w:ind w:left="720"/>
        <w:rPr>
          <w:rFonts w:ascii="Times New Roman" w:hAnsi="Times New Roman" w:cs="Times New Roman"/>
          <w:sz w:val="22"/>
          <w:szCs w:val="22"/>
        </w:rPr>
      </w:pPr>
      <w:r>
        <w:rPr>
          <w:rFonts w:ascii="Times New Roman" w:hAnsi="Times New Roman" w:cs="Times New Roman"/>
          <w:sz w:val="22"/>
          <w:szCs w:val="22"/>
        </w:rPr>
        <w:t xml:space="preserve">Assist Academic Affairs in developing a strategy for improving quality of teaching, learning, and student experience in 100% online programs through the Online Learning and Models Capability Audit. </w:t>
      </w:r>
    </w:p>
    <w:p w:rsidR="00527A1A" w:rsidP="00527A1A" w:rsidRDefault="00527A1A" w14:paraId="2D19EDFB" w14:textId="36A57612">
      <w:pPr>
        <w:pStyle w:val="PlainText"/>
        <w:numPr>
          <w:ilvl w:val="1"/>
          <w:numId w:val="18"/>
        </w:numPr>
        <w:tabs>
          <w:tab w:val="left" w:pos="360"/>
        </w:tabs>
        <w:rPr>
          <w:rFonts w:ascii="Times New Roman" w:hAnsi="Times New Roman" w:cs="Times New Roman"/>
          <w:sz w:val="22"/>
          <w:szCs w:val="22"/>
        </w:rPr>
      </w:pPr>
      <w:r>
        <w:rPr>
          <w:rFonts w:ascii="Times New Roman" w:hAnsi="Times New Roman" w:cs="Times New Roman"/>
          <w:sz w:val="22"/>
          <w:szCs w:val="22"/>
        </w:rPr>
        <w:t>Review and recommend models of professional development.</w:t>
      </w:r>
    </w:p>
    <w:p w:rsidR="00527A1A" w:rsidP="00527A1A" w:rsidRDefault="00527A1A" w14:paraId="566D3560" w14:textId="5A0F2BB5">
      <w:pPr>
        <w:pStyle w:val="PlainText"/>
        <w:numPr>
          <w:ilvl w:val="1"/>
          <w:numId w:val="18"/>
        </w:numPr>
        <w:tabs>
          <w:tab w:val="left" w:pos="360"/>
        </w:tabs>
        <w:rPr>
          <w:rFonts w:ascii="Times New Roman" w:hAnsi="Times New Roman" w:cs="Times New Roman"/>
          <w:sz w:val="22"/>
          <w:szCs w:val="22"/>
        </w:rPr>
      </w:pPr>
      <w:r>
        <w:rPr>
          <w:rFonts w:ascii="Times New Roman" w:hAnsi="Times New Roman" w:cs="Times New Roman"/>
          <w:sz w:val="22"/>
          <w:szCs w:val="22"/>
        </w:rPr>
        <w:t xml:space="preserve">Review and recommend models of instructional design. </w:t>
      </w:r>
    </w:p>
    <w:p w:rsidR="00CD02B5" w:rsidP="00527A1A" w:rsidRDefault="00527A1A" w14:paraId="1993A50B" w14:textId="77777777">
      <w:pPr>
        <w:pStyle w:val="PlainText"/>
        <w:numPr>
          <w:ilvl w:val="1"/>
          <w:numId w:val="18"/>
        </w:numPr>
        <w:tabs>
          <w:tab w:val="left" w:pos="360"/>
        </w:tabs>
        <w:rPr>
          <w:rFonts w:ascii="Times New Roman" w:hAnsi="Times New Roman" w:cs="Times New Roman"/>
          <w:sz w:val="22"/>
          <w:szCs w:val="22"/>
        </w:rPr>
      </w:pPr>
      <w:r>
        <w:rPr>
          <w:rFonts w:ascii="Times New Roman" w:hAnsi="Times New Roman" w:cs="Times New Roman"/>
          <w:sz w:val="22"/>
          <w:szCs w:val="22"/>
        </w:rPr>
        <w:t>Review and recommend models of teaching in action in online programs.</w:t>
      </w:r>
    </w:p>
    <w:p w:rsidR="00CD02B5" w:rsidP="00527A1A" w:rsidRDefault="00CD02B5" w14:paraId="08BF11A8" w14:textId="3156A441">
      <w:pPr>
        <w:pStyle w:val="PlainText"/>
        <w:numPr>
          <w:ilvl w:val="1"/>
          <w:numId w:val="18"/>
        </w:numPr>
        <w:tabs>
          <w:tab w:val="left" w:pos="360"/>
        </w:tabs>
        <w:rPr>
          <w:rFonts w:ascii="Times New Roman" w:hAnsi="Times New Roman" w:cs="Times New Roman"/>
          <w:sz w:val="22"/>
          <w:szCs w:val="22"/>
        </w:rPr>
      </w:pPr>
      <w:r>
        <w:rPr>
          <w:rFonts w:ascii="Times New Roman" w:hAnsi="Times New Roman" w:cs="Times New Roman"/>
          <w:sz w:val="22"/>
          <w:szCs w:val="22"/>
        </w:rPr>
        <w:t xml:space="preserve">Design a professional development schedule to support faculty in these areas. </w:t>
      </w:r>
    </w:p>
    <w:p w:rsidR="00527A1A" w:rsidP="00527A1A" w:rsidRDefault="00CD02B5" w14:paraId="04AF7459" w14:textId="53A6DFAE">
      <w:pPr>
        <w:pStyle w:val="PlainText"/>
        <w:numPr>
          <w:ilvl w:val="1"/>
          <w:numId w:val="18"/>
        </w:numPr>
        <w:tabs>
          <w:tab w:val="left" w:pos="360"/>
        </w:tabs>
        <w:rPr>
          <w:rFonts w:ascii="Times New Roman" w:hAnsi="Times New Roman" w:cs="Times New Roman"/>
          <w:sz w:val="22"/>
          <w:szCs w:val="22"/>
        </w:rPr>
      </w:pPr>
      <w:r>
        <w:rPr>
          <w:rFonts w:ascii="Times New Roman" w:hAnsi="Times New Roman" w:cs="Times New Roman"/>
          <w:sz w:val="22"/>
          <w:szCs w:val="22"/>
        </w:rPr>
        <w:t>Assist in the design of a learning and technology orientation for 100% online students.</w:t>
      </w:r>
      <w:r w:rsidR="00527A1A">
        <w:rPr>
          <w:rFonts w:ascii="Times New Roman" w:hAnsi="Times New Roman" w:cs="Times New Roman"/>
          <w:sz w:val="22"/>
          <w:szCs w:val="22"/>
        </w:rPr>
        <w:t xml:space="preserve"> </w:t>
      </w:r>
    </w:p>
    <w:p w:rsidR="00CD02B5" w:rsidP="00CD02B5" w:rsidRDefault="00CD02B5" w14:paraId="20E45901" w14:textId="77777777">
      <w:pPr>
        <w:pStyle w:val="PlainText"/>
        <w:tabs>
          <w:tab w:val="left" w:pos="360"/>
        </w:tabs>
        <w:ind w:left="1440"/>
        <w:rPr>
          <w:rFonts w:ascii="Times New Roman" w:hAnsi="Times New Roman" w:cs="Times New Roman"/>
          <w:sz w:val="22"/>
          <w:szCs w:val="22"/>
        </w:rPr>
      </w:pPr>
    </w:p>
    <w:p w:rsidR="00CD02B5" w:rsidP="00CD02B5" w:rsidRDefault="00CD02B5" w14:paraId="73374A09" w14:textId="77777777">
      <w:pPr>
        <w:pStyle w:val="PlainText"/>
        <w:tabs>
          <w:tab w:val="left" w:pos="360"/>
        </w:tabs>
        <w:ind w:left="1440"/>
        <w:rPr>
          <w:rFonts w:ascii="Times New Roman" w:hAnsi="Times New Roman" w:cs="Times New Roman"/>
          <w:sz w:val="22"/>
          <w:szCs w:val="22"/>
        </w:rPr>
      </w:pPr>
    </w:p>
    <w:p w:rsidRPr="00740785" w:rsidR="00CD02B5" w:rsidP="00CD02B5" w:rsidRDefault="00CD02B5" w14:paraId="2B2030D5" w14:textId="77777777">
      <w:pPr>
        <w:pStyle w:val="PlainText"/>
        <w:tabs>
          <w:tab w:val="left" w:pos="360"/>
        </w:tabs>
        <w:ind w:left="1440"/>
        <w:rPr>
          <w:rFonts w:ascii="Times New Roman" w:hAnsi="Times New Roman" w:cs="Times New Roman"/>
          <w:sz w:val="22"/>
          <w:szCs w:val="22"/>
        </w:rPr>
      </w:pPr>
    </w:p>
    <w:p w:rsidR="004C5706" w:rsidP="004C5706" w:rsidRDefault="004C5706" w14:paraId="4E4C3ABD" w14:textId="77777777">
      <w:pPr>
        <w:pStyle w:val="PlainText"/>
        <w:tabs>
          <w:tab w:val="left" w:pos="540"/>
        </w:tabs>
        <w:rPr>
          <w:rFonts w:ascii="Times New Roman" w:hAnsi="Times New Roman" w:cs="Times New Roman"/>
          <w:sz w:val="24"/>
          <w:szCs w:val="24"/>
        </w:rPr>
      </w:pPr>
    </w:p>
    <w:p w:rsidRPr="00A71BE0" w:rsidR="00A71BE0" w:rsidP="004C5706" w:rsidRDefault="004C5706" w14:paraId="5D7641B8" w14:textId="77777777">
      <w:pPr>
        <w:pStyle w:val="PlainText"/>
        <w:numPr>
          <w:ilvl w:val="0"/>
          <w:numId w:val="4"/>
        </w:numPr>
        <w:tabs>
          <w:tab w:val="left" w:pos="540"/>
        </w:tabs>
        <w:rPr>
          <w:rFonts w:ascii="Times New Roman" w:hAnsi="Times New Roman" w:cs="Times New Roman"/>
          <w:i/>
          <w:sz w:val="24"/>
          <w:szCs w:val="24"/>
        </w:rPr>
      </w:pPr>
      <w:r>
        <w:rPr>
          <w:rFonts w:ascii="Times New Roman" w:hAnsi="Times New Roman" w:cs="Times New Roman"/>
          <w:sz w:val="24"/>
          <w:szCs w:val="24"/>
        </w:rPr>
        <w:t xml:space="preserve"> What was learned from the assessment results</w:t>
      </w:r>
      <w:r w:rsidR="00A71BE0">
        <w:rPr>
          <w:rFonts w:ascii="Times New Roman" w:hAnsi="Times New Roman" w:cs="Times New Roman"/>
          <w:sz w:val="24"/>
          <w:szCs w:val="24"/>
        </w:rPr>
        <w:t>?</w:t>
      </w:r>
    </w:p>
    <w:p w:rsidR="00A71BE0" w:rsidP="00A71BE0" w:rsidRDefault="00A71BE0" w14:paraId="1CC4209D" w14:textId="77777777">
      <w:pPr>
        <w:pStyle w:val="PlainText"/>
        <w:tabs>
          <w:tab w:val="left" w:pos="540"/>
        </w:tabs>
        <w:ind w:left="720"/>
        <w:rPr>
          <w:rFonts w:ascii="Times New Roman" w:hAnsi="Times New Roman" w:cs="Times New Roman"/>
          <w:sz w:val="24"/>
          <w:szCs w:val="24"/>
        </w:rPr>
      </w:pPr>
      <w:r>
        <w:rPr>
          <w:rFonts w:ascii="Times New Roman" w:hAnsi="Times New Roman" w:cs="Times New Roman"/>
          <w:i/>
          <w:sz w:val="24"/>
          <w:szCs w:val="24"/>
        </w:rPr>
        <w:t>(D</w:t>
      </w:r>
      <w:r w:rsidRPr="00A71BE0" w:rsidR="004C5706">
        <w:rPr>
          <w:rFonts w:ascii="Times New Roman" w:hAnsi="Times New Roman" w:cs="Times New Roman"/>
          <w:i/>
          <w:sz w:val="24"/>
          <w:szCs w:val="24"/>
        </w:rPr>
        <w:t xml:space="preserve">escribe </w:t>
      </w:r>
      <w:r w:rsidRPr="00A71BE0">
        <w:rPr>
          <w:rFonts w:ascii="Times New Roman" w:hAnsi="Times New Roman" w:cs="Times New Roman"/>
          <w:i/>
          <w:sz w:val="24"/>
          <w:szCs w:val="24"/>
        </w:rPr>
        <w:t>what members of this unit/program found most valuable and useful in the assessment results).</w:t>
      </w:r>
    </w:p>
    <w:p w:rsidR="00A71BE0" w:rsidP="00F278B7" w:rsidRDefault="00A71BE0" w14:paraId="2B23E8AD" w14:textId="77777777">
      <w:pPr>
        <w:pStyle w:val="PlainText"/>
        <w:tabs>
          <w:tab w:val="left" w:pos="540"/>
        </w:tabs>
        <w:ind w:left="540"/>
        <w:rPr>
          <w:rFonts w:ascii="Times New Roman" w:hAnsi="Times New Roman" w:cs="Times New Roman"/>
          <w:sz w:val="24"/>
          <w:szCs w:val="24"/>
        </w:rPr>
      </w:pPr>
    </w:p>
    <w:p w:rsidRPr="0088716A" w:rsidR="0088716A" w:rsidP="00F278B7" w:rsidRDefault="0088716A" w14:paraId="53FDA652" w14:textId="6DD6A71B">
      <w:pPr>
        <w:pStyle w:val="PlainText"/>
        <w:tabs>
          <w:tab w:val="left" w:pos="540"/>
        </w:tabs>
        <w:ind w:left="540"/>
        <w:rPr>
          <w:rFonts w:ascii="Times New Roman" w:hAnsi="Times New Roman" w:cs="Times New Roman"/>
          <w:sz w:val="22"/>
          <w:szCs w:val="24"/>
        </w:rPr>
      </w:pPr>
      <w:r w:rsidRPr="0088716A">
        <w:rPr>
          <w:rFonts w:ascii="Times New Roman" w:hAnsi="Times New Roman" w:cs="Times New Roman"/>
          <w:sz w:val="22"/>
          <w:szCs w:val="24"/>
        </w:rPr>
        <w:t xml:space="preserve">The needs analysis suggests that CETL has a good reputation within the University. Administrators and Deans are strongly supportive of our programming; deans regularly encourage their faculty, particularly new faculty, to participate in events as part of their professional development plans. </w:t>
      </w:r>
      <w:r w:rsidR="003E2EEE">
        <w:rPr>
          <w:rFonts w:ascii="Times New Roman" w:hAnsi="Times New Roman" w:cs="Times New Roman"/>
          <w:sz w:val="22"/>
          <w:szCs w:val="24"/>
        </w:rPr>
        <w:t xml:space="preserve">Although every department chair was contacted to offer to meet with them or their departments about questions, ideas, and concerns, only eight departments did so. Anecdotal data suggest many </w:t>
      </w:r>
      <w:proofErr w:type="gramStart"/>
      <w:r w:rsidR="003E2EEE">
        <w:rPr>
          <w:rFonts w:ascii="Times New Roman" w:hAnsi="Times New Roman" w:cs="Times New Roman"/>
          <w:sz w:val="22"/>
          <w:szCs w:val="24"/>
        </w:rPr>
        <w:t>faculty</w:t>
      </w:r>
      <w:proofErr w:type="gramEnd"/>
      <w:r w:rsidR="003E2EEE">
        <w:rPr>
          <w:rFonts w:ascii="Times New Roman" w:hAnsi="Times New Roman" w:cs="Times New Roman"/>
          <w:sz w:val="22"/>
          <w:szCs w:val="24"/>
        </w:rPr>
        <w:t xml:space="preserve"> do not believe they need the services CETL offers, yet they are also not aware of the breadth and depth of offerings.</w:t>
      </w:r>
    </w:p>
    <w:p w:rsidRPr="0088716A" w:rsidR="0088716A" w:rsidP="00F278B7" w:rsidRDefault="0088716A" w14:paraId="409DC319" w14:textId="77777777">
      <w:pPr>
        <w:pStyle w:val="PlainText"/>
        <w:tabs>
          <w:tab w:val="left" w:pos="540"/>
        </w:tabs>
        <w:ind w:left="540"/>
        <w:rPr>
          <w:rFonts w:ascii="Times New Roman" w:hAnsi="Times New Roman" w:cs="Times New Roman"/>
          <w:sz w:val="22"/>
          <w:szCs w:val="24"/>
        </w:rPr>
      </w:pPr>
    </w:p>
    <w:p w:rsidR="00F278B7" w:rsidP="00F278B7" w:rsidRDefault="00527A1A" w14:paraId="0A58AFCD" w14:textId="5828291F">
      <w:pPr>
        <w:pStyle w:val="PlainText"/>
        <w:tabs>
          <w:tab w:val="left" w:pos="540"/>
        </w:tabs>
        <w:ind w:left="540"/>
        <w:rPr>
          <w:rFonts w:ascii="Times New Roman" w:hAnsi="Times New Roman" w:cs="Times New Roman"/>
          <w:sz w:val="22"/>
          <w:szCs w:val="24"/>
        </w:rPr>
      </w:pPr>
      <w:r>
        <w:rPr>
          <w:rFonts w:ascii="Times New Roman" w:hAnsi="Times New Roman" w:cs="Times New Roman"/>
          <w:sz w:val="22"/>
          <w:szCs w:val="24"/>
        </w:rPr>
        <w:t xml:space="preserve">The last assessment report available is for the 2014-15 year. </w:t>
      </w:r>
      <w:r w:rsidR="003E2EEE">
        <w:rPr>
          <w:rFonts w:ascii="Times New Roman" w:hAnsi="Times New Roman" w:cs="Times New Roman"/>
          <w:sz w:val="22"/>
          <w:szCs w:val="24"/>
        </w:rPr>
        <w:t xml:space="preserve">It appears that the previous director did not assess CETL in the 2015-16 and 2016-17 years. No assessment data was collected during </w:t>
      </w:r>
      <w:r>
        <w:rPr>
          <w:rFonts w:ascii="Times New Roman" w:hAnsi="Times New Roman" w:cs="Times New Roman"/>
          <w:sz w:val="22"/>
          <w:szCs w:val="24"/>
        </w:rPr>
        <w:t>the 2016-17 year and n</w:t>
      </w:r>
      <w:r w:rsidR="003E2EEE">
        <w:rPr>
          <w:rFonts w:ascii="Times New Roman" w:hAnsi="Times New Roman" w:cs="Times New Roman"/>
          <w:sz w:val="22"/>
          <w:szCs w:val="24"/>
        </w:rPr>
        <w:t>o evaluation instrument was found</w:t>
      </w:r>
      <w:r>
        <w:rPr>
          <w:rFonts w:ascii="Times New Roman" w:hAnsi="Times New Roman" w:cs="Times New Roman"/>
          <w:sz w:val="22"/>
          <w:szCs w:val="24"/>
        </w:rPr>
        <w:t>. Thus, the a</w:t>
      </w:r>
      <w:r w:rsidRPr="0088716A" w:rsidR="00F278B7">
        <w:rPr>
          <w:rFonts w:ascii="Times New Roman" w:hAnsi="Times New Roman" w:cs="Times New Roman"/>
          <w:sz w:val="22"/>
          <w:szCs w:val="24"/>
        </w:rPr>
        <w:t xml:space="preserve">ssessment </w:t>
      </w:r>
      <w:r>
        <w:rPr>
          <w:rFonts w:ascii="Times New Roman" w:hAnsi="Times New Roman" w:cs="Times New Roman"/>
          <w:sz w:val="22"/>
          <w:szCs w:val="24"/>
        </w:rPr>
        <w:t xml:space="preserve">plan </w:t>
      </w:r>
      <w:r w:rsidRPr="0088716A" w:rsidR="00F278B7">
        <w:rPr>
          <w:rFonts w:ascii="Times New Roman" w:hAnsi="Times New Roman" w:cs="Times New Roman"/>
          <w:sz w:val="22"/>
          <w:szCs w:val="24"/>
        </w:rPr>
        <w:t xml:space="preserve">must be revised and </w:t>
      </w:r>
      <w:r>
        <w:rPr>
          <w:rFonts w:ascii="Times New Roman" w:hAnsi="Times New Roman" w:cs="Times New Roman"/>
          <w:sz w:val="22"/>
          <w:szCs w:val="24"/>
        </w:rPr>
        <w:t xml:space="preserve">built into our procedures. </w:t>
      </w:r>
    </w:p>
    <w:p w:rsidR="00CD02B5" w:rsidP="00F278B7" w:rsidRDefault="00CD02B5" w14:paraId="476D3785" w14:textId="77777777">
      <w:pPr>
        <w:pStyle w:val="PlainText"/>
        <w:tabs>
          <w:tab w:val="left" w:pos="540"/>
        </w:tabs>
        <w:ind w:left="540"/>
        <w:rPr>
          <w:rFonts w:ascii="Times New Roman" w:hAnsi="Times New Roman" w:cs="Times New Roman"/>
          <w:sz w:val="22"/>
          <w:szCs w:val="24"/>
        </w:rPr>
      </w:pPr>
    </w:p>
    <w:p w:rsidRPr="00CD02B5" w:rsidR="00A71BE0" w:rsidP="00CD02B5" w:rsidRDefault="00CD02B5" w14:paraId="1BA1ECD2" w14:textId="1FA3600E">
      <w:pPr>
        <w:pStyle w:val="PlainText"/>
        <w:tabs>
          <w:tab w:val="left" w:pos="540"/>
        </w:tabs>
        <w:ind w:left="540"/>
        <w:rPr>
          <w:rFonts w:ascii="Times New Roman" w:hAnsi="Times New Roman" w:cs="Times New Roman"/>
          <w:sz w:val="22"/>
          <w:szCs w:val="24"/>
        </w:rPr>
      </w:pPr>
      <w:r>
        <w:rPr>
          <w:rFonts w:ascii="Times New Roman" w:hAnsi="Times New Roman" w:cs="Times New Roman"/>
          <w:sz w:val="22"/>
          <w:szCs w:val="24"/>
        </w:rPr>
        <w:t>Data that is available from program registrations indicates (a) faculty in their first three years of service are some of our most frequent users, (b) there is a core of approximately 20 mid-career faculty who</w:t>
      </w:r>
      <w:r w:rsidR="006C19E3">
        <w:rPr>
          <w:rFonts w:ascii="Times New Roman" w:hAnsi="Times New Roman" w:cs="Times New Roman"/>
          <w:sz w:val="22"/>
          <w:szCs w:val="24"/>
        </w:rPr>
        <w:t xml:space="preserve"> regularly</w:t>
      </w:r>
      <w:r>
        <w:rPr>
          <w:rFonts w:ascii="Times New Roman" w:hAnsi="Times New Roman" w:cs="Times New Roman"/>
          <w:sz w:val="22"/>
          <w:szCs w:val="24"/>
        </w:rPr>
        <w:t xml:space="preserve"> participate and lead CETL programs, and (c) many participants enroll in more than one CETL program. Future assessment and research should investigate why participation drops off for new faculty as they near tenure, what keeps the core group coming back for more, and how can we encourage former participants to begin attending CETL events again.   </w:t>
      </w:r>
    </w:p>
    <w:p w:rsidR="00A71BE0" w:rsidP="00A71BE0" w:rsidRDefault="00A71BE0" w14:paraId="2E070211" w14:textId="77777777">
      <w:pPr>
        <w:pStyle w:val="PlainText"/>
        <w:tabs>
          <w:tab w:val="left" w:pos="540"/>
        </w:tabs>
        <w:rPr>
          <w:rFonts w:ascii="Times New Roman" w:hAnsi="Times New Roman" w:cs="Times New Roman"/>
          <w:sz w:val="24"/>
          <w:szCs w:val="24"/>
        </w:rPr>
      </w:pPr>
    </w:p>
    <w:p w:rsidR="00A71BE0" w:rsidP="00A71BE0" w:rsidRDefault="00A71BE0" w14:paraId="5DE70E7B" w14:textId="77777777">
      <w:pPr>
        <w:pStyle w:val="PlainText"/>
        <w:numPr>
          <w:ilvl w:val="0"/>
          <w:numId w:val="4"/>
        </w:numPr>
        <w:tabs>
          <w:tab w:val="left" w:pos="540"/>
        </w:tabs>
        <w:rPr>
          <w:rFonts w:ascii="Times New Roman" w:hAnsi="Times New Roman" w:cs="Times New Roman"/>
          <w:sz w:val="24"/>
          <w:szCs w:val="24"/>
        </w:rPr>
      </w:pPr>
      <w:r>
        <w:rPr>
          <w:rFonts w:ascii="Times New Roman" w:hAnsi="Times New Roman" w:cs="Times New Roman"/>
          <w:sz w:val="24"/>
          <w:szCs w:val="24"/>
        </w:rPr>
        <w:t xml:space="preserve"> What did the unit/program do as a result of what was learned from the assessment information?</w:t>
      </w:r>
    </w:p>
    <w:p w:rsidR="00A71BE0" w:rsidP="00A71BE0" w:rsidRDefault="00A71BE0" w14:paraId="04236964" w14:textId="77777777">
      <w:pPr>
        <w:pStyle w:val="PlainText"/>
        <w:tabs>
          <w:tab w:val="left" w:pos="540"/>
        </w:tabs>
        <w:ind w:left="720"/>
        <w:rPr>
          <w:rFonts w:ascii="Times New Roman" w:hAnsi="Times New Roman" w:cs="Times New Roman"/>
          <w:sz w:val="24"/>
          <w:szCs w:val="24"/>
        </w:rPr>
      </w:pPr>
    </w:p>
    <w:p w:rsidR="00527A1A" w:rsidP="00527A1A" w:rsidRDefault="00527A1A" w14:paraId="69054E7F" w14:textId="1D6ED1FD">
      <w:pPr>
        <w:pStyle w:val="PlainText"/>
        <w:tabs>
          <w:tab w:val="left" w:pos="540"/>
        </w:tabs>
        <w:ind w:left="720"/>
        <w:rPr>
          <w:rFonts w:ascii="Times New Roman" w:hAnsi="Times New Roman" w:cs="Times New Roman"/>
          <w:sz w:val="22"/>
          <w:szCs w:val="24"/>
        </w:rPr>
      </w:pPr>
      <w:r w:rsidRPr="00527A1A">
        <w:rPr>
          <w:rFonts w:ascii="Times New Roman" w:hAnsi="Times New Roman" w:cs="Times New Roman"/>
          <w:sz w:val="22"/>
          <w:szCs w:val="24"/>
        </w:rPr>
        <w:t xml:space="preserve">The entire catalog of CETL programming was reviewed. </w:t>
      </w:r>
      <w:r w:rsidR="00665660">
        <w:rPr>
          <w:rFonts w:ascii="Times New Roman" w:hAnsi="Times New Roman" w:cs="Times New Roman"/>
          <w:sz w:val="22"/>
          <w:szCs w:val="24"/>
        </w:rPr>
        <w:t>Following the needs analysis, n</w:t>
      </w:r>
      <w:r w:rsidRPr="00527A1A">
        <w:rPr>
          <w:rFonts w:ascii="Times New Roman" w:hAnsi="Times New Roman" w:cs="Times New Roman"/>
          <w:sz w:val="22"/>
          <w:szCs w:val="24"/>
        </w:rPr>
        <w:t xml:space="preserve">ew and continuing programs were mapped onto the following goals: </w:t>
      </w:r>
    </w:p>
    <w:p w:rsidRPr="00527A1A" w:rsidR="00527A1A" w:rsidP="00527A1A" w:rsidRDefault="00527A1A" w14:paraId="078AC112" w14:textId="77777777">
      <w:pPr>
        <w:pStyle w:val="PlainText"/>
        <w:tabs>
          <w:tab w:val="left" w:pos="540"/>
        </w:tabs>
        <w:ind w:left="720"/>
        <w:rPr>
          <w:rFonts w:ascii="Times New Roman" w:hAnsi="Times New Roman" w:cs="Times New Roman"/>
          <w:sz w:val="22"/>
          <w:szCs w:val="24"/>
        </w:rPr>
      </w:pPr>
    </w:p>
    <w:p w:rsidR="00527A1A" w:rsidP="00527A1A" w:rsidRDefault="00527A1A" w14:paraId="7F0F52FE" w14:textId="77777777">
      <w:pPr>
        <w:pStyle w:val="NormalWeb"/>
        <w:numPr>
          <w:ilvl w:val="0"/>
          <w:numId w:val="20"/>
        </w:numPr>
        <w:spacing w:before="0" w:beforeAutospacing="0" w:after="0" w:afterAutospacing="0"/>
        <w:textAlignment w:val="baseline"/>
        <w:rPr>
          <w:rFonts w:ascii="Didact Gothic" w:hAnsi="Didact Gothic"/>
          <w:color w:val="000000"/>
          <w:sz w:val="22"/>
          <w:szCs w:val="22"/>
        </w:rPr>
      </w:pPr>
      <w:r>
        <w:rPr>
          <w:rFonts w:ascii="Didact Gothic" w:hAnsi="Didact Gothic"/>
          <w:color w:val="000000"/>
          <w:sz w:val="22"/>
          <w:szCs w:val="22"/>
        </w:rPr>
        <w:t>Align CETL’s activities with strategic planning across the University.</w:t>
      </w:r>
    </w:p>
    <w:p w:rsidR="00527A1A" w:rsidP="00527A1A" w:rsidRDefault="00527A1A" w14:paraId="09EFDA7B" w14:textId="77777777">
      <w:pPr>
        <w:pStyle w:val="NormalWeb"/>
        <w:numPr>
          <w:ilvl w:val="0"/>
          <w:numId w:val="20"/>
        </w:numPr>
        <w:spacing w:before="0" w:beforeAutospacing="0" w:after="0" w:afterAutospacing="0"/>
        <w:textAlignment w:val="baseline"/>
        <w:rPr>
          <w:rFonts w:ascii="Didact Gothic" w:hAnsi="Didact Gothic"/>
          <w:color w:val="000000"/>
          <w:sz w:val="22"/>
          <w:szCs w:val="22"/>
        </w:rPr>
      </w:pPr>
      <w:r>
        <w:rPr>
          <w:rFonts w:ascii="Didact Gothic" w:hAnsi="Didact Gothic"/>
          <w:color w:val="000000"/>
          <w:sz w:val="22"/>
          <w:szCs w:val="22"/>
        </w:rPr>
        <w:t>Collaborate with diversity/inclusion training at the University.</w:t>
      </w:r>
    </w:p>
    <w:p w:rsidR="00527A1A" w:rsidP="00527A1A" w:rsidRDefault="00527A1A" w14:paraId="519D4C11" w14:textId="77777777">
      <w:pPr>
        <w:pStyle w:val="NormalWeb"/>
        <w:numPr>
          <w:ilvl w:val="0"/>
          <w:numId w:val="20"/>
        </w:numPr>
        <w:spacing w:before="0" w:beforeAutospacing="0" w:after="0" w:afterAutospacing="0"/>
        <w:textAlignment w:val="baseline"/>
        <w:rPr>
          <w:rFonts w:ascii="Didact Gothic" w:hAnsi="Didact Gothic"/>
          <w:color w:val="000000"/>
          <w:sz w:val="22"/>
          <w:szCs w:val="22"/>
        </w:rPr>
      </w:pPr>
      <w:r>
        <w:rPr>
          <w:rFonts w:ascii="Didact Gothic" w:hAnsi="Didact Gothic"/>
          <w:color w:val="000000"/>
          <w:sz w:val="22"/>
          <w:szCs w:val="22"/>
        </w:rPr>
        <w:t>Respond to the HLC 2016 Final Report Criterion 3 Teaching and Learning.</w:t>
      </w:r>
    </w:p>
    <w:p w:rsidR="00527A1A" w:rsidP="00527A1A" w:rsidRDefault="00527A1A" w14:paraId="1A7C0889" w14:textId="77777777">
      <w:pPr>
        <w:pStyle w:val="NormalWeb"/>
        <w:numPr>
          <w:ilvl w:val="0"/>
          <w:numId w:val="20"/>
        </w:numPr>
        <w:spacing w:before="0" w:beforeAutospacing="0" w:after="0" w:afterAutospacing="0"/>
        <w:textAlignment w:val="baseline"/>
        <w:rPr>
          <w:rFonts w:ascii="Didact Gothic" w:hAnsi="Didact Gothic"/>
          <w:color w:val="000000"/>
          <w:sz w:val="22"/>
          <w:szCs w:val="22"/>
        </w:rPr>
      </w:pPr>
      <w:r>
        <w:rPr>
          <w:rFonts w:ascii="Didact Gothic" w:hAnsi="Didact Gothic"/>
          <w:color w:val="000000"/>
          <w:sz w:val="22"/>
          <w:szCs w:val="22"/>
        </w:rPr>
        <w:t>Assist in new faculty onboarding and update the CETL new faculty orientation event.</w:t>
      </w:r>
    </w:p>
    <w:p w:rsidR="00527A1A" w:rsidP="00527A1A" w:rsidRDefault="00527A1A" w14:paraId="236039E0" w14:textId="77777777">
      <w:pPr>
        <w:pStyle w:val="NormalWeb"/>
        <w:numPr>
          <w:ilvl w:val="0"/>
          <w:numId w:val="20"/>
        </w:numPr>
        <w:spacing w:before="0" w:beforeAutospacing="0" w:after="0" w:afterAutospacing="0"/>
        <w:textAlignment w:val="baseline"/>
        <w:rPr>
          <w:rFonts w:ascii="Didact Gothic" w:hAnsi="Didact Gothic"/>
          <w:color w:val="000000"/>
          <w:sz w:val="22"/>
          <w:szCs w:val="22"/>
        </w:rPr>
      </w:pPr>
      <w:r>
        <w:rPr>
          <w:rFonts w:ascii="Didact Gothic" w:hAnsi="Didact Gothic"/>
          <w:color w:val="000000"/>
          <w:sz w:val="22"/>
          <w:szCs w:val="22"/>
        </w:rPr>
        <w:t>Improve online course design and experience.</w:t>
      </w:r>
    </w:p>
    <w:p w:rsidR="00527A1A" w:rsidP="00527A1A" w:rsidRDefault="00527A1A" w14:paraId="3D991281" w14:textId="77777777">
      <w:pPr>
        <w:pStyle w:val="NormalWeb"/>
        <w:numPr>
          <w:ilvl w:val="0"/>
          <w:numId w:val="20"/>
        </w:numPr>
        <w:spacing w:before="0" w:beforeAutospacing="0" w:after="0" w:afterAutospacing="0"/>
        <w:textAlignment w:val="baseline"/>
        <w:rPr>
          <w:rFonts w:ascii="Didact Gothic" w:hAnsi="Didact Gothic"/>
          <w:color w:val="000000"/>
          <w:sz w:val="22"/>
          <w:szCs w:val="22"/>
        </w:rPr>
      </w:pPr>
      <w:r>
        <w:rPr>
          <w:rFonts w:ascii="Didact Gothic" w:hAnsi="Didact Gothic"/>
          <w:color w:val="000000"/>
          <w:sz w:val="22"/>
          <w:szCs w:val="22"/>
        </w:rPr>
        <w:t>Assist in preparation for graduate teaching assistants and adjunct faculty.</w:t>
      </w:r>
    </w:p>
    <w:p w:rsidR="00665660" w:rsidP="00665660" w:rsidRDefault="00665660" w14:paraId="3F7A9FE4" w14:textId="77777777">
      <w:pPr>
        <w:pStyle w:val="NormalWeb"/>
        <w:spacing w:before="0" w:beforeAutospacing="0" w:after="0" w:afterAutospacing="0"/>
        <w:textAlignment w:val="baseline"/>
        <w:rPr>
          <w:rFonts w:ascii="Didact Gothic" w:hAnsi="Didact Gothic"/>
          <w:color w:val="000000"/>
          <w:sz w:val="22"/>
          <w:szCs w:val="22"/>
        </w:rPr>
      </w:pPr>
    </w:p>
    <w:p w:rsidR="00665660" w:rsidP="00665660" w:rsidRDefault="00665660" w14:paraId="753E917F" w14:textId="318B81C1">
      <w:pPr>
        <w:pStyle w:val="PlainText"/>
        <w:tabs>
          <w:tab w:val="left" w:pos="540"/>
        </w:tabs>
        <w:ind w:left="720"/>
        <w:rPr>
          <w:rFonts w:ascii="Times New Roman" w:hAnsi="Times New Roman" w:cs="Times New Roman"/>
          <w:sz w:val="22"/>
          <w:szCs w:val="24"/>
        </w:rPr>
      </w:pPr>
      <w:r>
        <w:rPr>
          <w:rFonts w:ascii="Times New Roman" w:hAnsi="Times New Roman" w:cs="Times New Roman"/>
          <w:sz w:val="22"/>
          <w:szCs w:val="24"/>
        </w:rPr>
        <w:t xml:space="preserve">This assessment report has encouraged CETL to develop a new assessment plan and recommend to the next director that the plan be reviewed and revised immediately following the next transition. </w:t>
      </w:r>
      <w:r w:rsidRPr="00527A1A">
        <w:rPr>
          <w:rFonts w:ascii="Times New Roman" w:hAnsi="Times New Roman" w:cs="Times New Roman"/>
          <w:sz w:val="22"/>
          <w:szCs w:val="24"/>
        </w:rPr>
        <w:t xml:space="preserve"> </w:t>
      </w:r>
    </w:p>
    <w:p w:rsidR="00665660" w:rsidP="00665660" w:rsidRDefault="00665660" w14:paraId="5E54C485" w14:textId="77777777">
      <w:pPr>
        <w:pStyle w:val="NormalWeb"/>
        <w:spacing w:before="0" w:beforeAutospacing="0" w:after="0" w:afterAutospacing="0"/>
        <w:textAlignment w:val="baseline"/>
        <w:rPr>
          <w:rFonts w:ascii="Didact Gothic" w:hAnsi="Didact Gothic"/>
          <w:color w:val="000000"/>
          <w:sz w:val="22"/>
          <w:szCs w:val="22"/>
        </w:rPr>
      </w:pPr>
    </w:p>
    <w:p w:rsidR="00A71BE0" w:rsidP="00CB1C20" w:rsidRDefault="00A71BE0" w14:paraId="1B62319F" w14:textId="77777777">
      <w:pPr>
        <w:pStyle w:val="PlainText"/>
        <w:tabs>
          <w:tab w:val="left" w:pos="540"/>
        </w:tabs>
        <w:rPr>
          <w:rFonts w:ascii="Times New Roman" w:hAnsi="Times New Roman" w:cs="Times New Roman"/>
          <w:sz w:val="24"/>
          <w:szCs w:val="24"/>
        </w:rPr>
      </w:pPr>
    </w:p>
    <w:p w:rsidRPr="00A71BE0" w:rsidR="00A71BE0" w:rsidP="00A71BE0" w:rsidRDefault="00A71BE0" w14:paraId="2116609A" w14:textId="77777777">
      <w:pPr>
        <w:pStyle w:val="PlainText"/>
        <w:numPr>
          <w:ilvl w:val="0"/>
          <w:numId w:val="4"/>
        </w:numPr>
        <w:tabs>
          <w:tab w:val="left" w:pos="540"/>
        </w:tabs>
        <w:rPr>
          <w:rFonts w:ascii="Times New Roman" w:hAnsi="Times New Roman" w:cs="Times New Roman"/>
          <w:sz w:val="24"/>
          <w:szCs w:val="24"/>
        </w:rPr>
      </w:pPr>
      <w:r>
        <w:rPr>
          <w:rFonts w:ascii="Times New Roman" w:hAnsi="Times New Roman" w:cs="Times New Roman"/>
          <w:sz w:val="24"/>
          <w:szCs w:val="24"/>
        </w:rPr>
        <w:t>How did the unit/program make use of feedback from the previous year’s assessment?</w:t>
      </w:r>
    </w:p>
    <w:p w:rsidR="00A71BE0" w:rsidP="00A71BE0" w:rsidRDefault="00A71BE0" w14:paraId="7284C47E" w14:textId="77777777">
      <w:pPr>
        <w:pStyle w:val="PlainText"/>
        <w:tabs>
          <w:tab w:val="left" w:pos="540"/>
        </w:tabs>
        <w:rPr>
          <w:rFonts w:ascii="Times New Roman" w:hAnsi="Times New Roman" w:cs="Times New Roman"/>
          <w:sz w:val="24"/>
          <w:szCs w:val="24"/>
        </w:rPr>
      </w:pPr>
    </w:p>
    <w:p w:rsidRPr="00527A1A" w:rsidR="00527A1A" w:rsidP="00527A1A" w:rsidRDefault="00527A1A" w14:paraId="00E76A88" w14:textId="0DA0C9BC">
      <w:pPr>
        <w:pStyle w:val="PlainText"/>
        <w:tabs>
          <w:tab w:val="left" w:pos="540"/>
        </w:tabs>
        <w:ind w:left="720"/>
        <w:rPr>
          <w:rFonts w:ascii="Times New Roman" w:hAnsi="Times New Roman" w:cs="Times New Roman"/>
          <w:sz w:val="22"/>
          <w:szCs w:val="24"/>
        </w:rPr>
      </w:pPr>
      <w:r w:rsidRPr="00527A1A">
        <w:rPr>
          <w:rFonts w:ascii="Times New Roman" w:hAnsi="Times New Roman" w:cs="Times New Roman"/>
          <w:sz w:val="22"/>
          <w:szCs w:val="24"/>
        </w:rPr>
        <w:t>No report</w:t>
      </w:r>
      <w:r>
        <w:rPr>
          <w:rFonts w:ascii="Times New Roman" w:hAnsi="Times New Roman" w:cs="Times New Roman"/>
          <w:sz w:val="22"/>
          <w:szCs w:val="24"/>
        </w:rPr>
        <w:t xml:space="preserve"> or </w:t>
      </w:r>
      <w:proofErr w:type="gramStart"/>
      <w:r>
        <w:rPr>
          <w:rFonts w:ascii="Times New Roman" w:hAnsi="Times New Roman" w:cs="Times New Roman"/>
          <w:sz w:val="22"/>
          <w:szCs w:val="24"/>
        </w:rPr>
        <w:t>feedback</w:t>
      </w:r>
      <w:r w:rsidRPr="00527A1A">
        <w:rPr>
          <w:rFonts w:ascii="Times New Roman" w:hAnsi="Times New Roman" w:cs="Times New Roman"/>
          <w:sz w:val="22"/>
          <w:szCs w:val="24"/>
        </w:rPr>
        <w:t xml:space="preserve"> w</w:t>
      </w:r>
      <w:r>
        <w:rPr>
          <w:rFonts w:ascii="Times New Roman" w:hAnsi="Times New Roman" w:cs="Times New Roman"/>
          <w:sz w:val="22"/>
          <w:szCs w:val="24"/>
        </w:rPr>
        <w:t>ere</w:t>
      </w:r>
      <w:proofErr w:type="gramEnd"/>
      <w:r w:rsidRPr="00527A1A">
        <w:rPr>
          <w:rFonts w:ascii="Times New Roman" w:hAnsi="Times New Roman" w:cs="Times New Roman"/>
          <w:sz w:val="22"/>
          <w:szCs w:val="24"/>
        </w:rPr>
        <w:t xml:space="preserve"> available to use in this year’s assessment.</w:t>
      </w:r>
    </w:p>
    <w:sectPr w:rsidRPr="00527A1A" w:rsidR="00527A1A" w:rsidSect="0088716A">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AE8" w:rsidP="006E0C7E" w:rsidRDefault="00F41AE8" w14:paraId="2910418D" w14:textId="77777777">
      <w:r>
        <w:separator/>
      </w:r>
    </w:p>
  </w:endnote>
  <w:endnote w:type="continuationSeparator" w:id="0">
    <w:p w:rsidR="00F41AE8" w:rsidP="006E0C7E" w:rsidRDefault="00F41AE8" w14:paraId="39254C2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idact Goth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8406A6" w:rsidR="008406A6" w:rsidRDefault="008406A6" w14:paraId="63A70A22" w14:textId="77777777">
    <w:pPr>
      <w:pStyle w:val="Footer"/>
      <w:rPr>
        <w:sz w:val="20"/>
        <w:szCs w:val="20"/>
      </w:rPr>
    </w:pPr>
    <w:r w:rsidRPr="008406A6">
      <w:rPr>
        <w:sz w:val="20"/>
        <w:szCs w:val="20"/>
      </w:rPr>
      <w:t xml:space="preserve">Updated March 3, </w:t>
    </w:r>
    <w:proofErr w:type="gramStart"/>
    <w:r w:rsidRPr="008406A6">
      <w:rPr>
        <w:sz w:val="20"/>
        <w:szCs w:val="20"/>
      </w:rPr>
      <w:t>2014</w:t>
    </w:r>
    <w:r>
      <w:rPr>
        <w:sz w:val="20"/>
        <w:szCs w:val="20"/>
      </w:rPr>
      <w:t xml:space="preserve">  PFEM</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AE8" w:rsidP="006E0C7E" w:rsidRDefault="00F41AE8" w14:paraId="77CE9EB0" w14:textId="77777777">
      <w:r>
        <w:separator/>
      </w:r>
    </w:p>
  </w:footnote>
  <w:footnote w:type="continuationSeparator" w:id="0">
    <w:p w:rsidR="00F41AE8" w:rsidP="006E0C7E" w:rsidRDefault="00F41AE8" w14:paraId="4C3E5EBE"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412051"/>
      <w:docPartObj>
        <w:docPartGallery w:val="Page Numbers (Top of Page)"/>
        <w:docPartUnique/>
      </w:docPartObj>
    </w:sdtPr>
    <w:sdtEndPr>
      <w:rPr>
        <w:noProof/>
      </w:rPr>
    </w:sdtEndPr>
    <w:sdtContent>
      <w:p w:rsidR="003D1388" w:rsidRDefault="00CD02B5" w14:paraId="133D2204" w14:textId="48BE646B">
        <w:pPr>
          <w:pStyle w:val="Header"/>
          <w:jc w:val="right"/>
        </w:pPr>
        <w:r>
          <w:t xml:space="preserve">CETL non-academic program assessment 2017, page </w:t>
        </w:r>
        <w:r w:rsidR="003D1388">
          <w:fldChar w:fldCharType="begin"/>
        </w:r>
        <w:r w:rsidR="003D1388">
          <w:instrText xml:space="preserve"> PAGE   \* MERGEFORMAT </w:instrText>
        </w:r>
        <w:r w:rsidR="003D1388">
          <w:fldChar w:fldCharType="separate"/>
        </w:r>
        <w:r w:rsidR="00DA777F">
          <w:rPr>
            <w:noProof/>
          </w:rPr>
          <w:t>1</w:t>
        </w:r>
        <w:r w:rsidR="003D1388">
          <w:rPr>
            <w:noProof/>
          </w:rPr>
          <w:fldChar w:fldCharType="end"/>
        </w:r>
      </w:p>
    </w:sdtContent>
  </w:sdt>
  <w:p w:rsidR="003D1388" w:rsidRDefault="003D1388" w14:paraId="2B4EA009"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0172"/>
    <w:multiLevelType w:val="hybridMultilevel"/>
    <w:tmpl w:val="934EB73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nsid w:val="09C751A0"/>
    <w:multiLevelType w:val="hybridMultilevel"/>
    <w:tmpl w:val="662C03BC"/>
    <w:lvl w:ilvl="0" w:tplc="5B7AB73E">
      <w:start w:val="2"/>
      <w:numFmt w:val="upperRoman"/>
      <w:lvlText w:val="%1."/>
      <w:lvlJc w:val="left"/>
      <w:pPr>
        <w:tabs>
          <w:tab w:val="num" w:pos="1080"/>
        </w:tabs>
        <w:ind w:left="1080" w:hanging="720"/>
      </w:pPr>
      <w:rPr>
        <w:rFonts w:hint="default"/>
        <w:i w:val="0"/>
        <w:color w:val="auto"/>
      </w:rPr>
    </w:lvl>
    <w:lvl w:ilvl="1" w:tplc="04090001">
      <w:start w:val="1"/>
      <w:numFmt w:val="bullet"/>
      <w:lvlText w:val=""/>
      <w:lvlJc w:val="left"/>
      <w:pPr>
        <w:ind w:left="1440" w:hanging="360"/>
      </w:pPr>
      <w:rPr>
        <w:rFonts w:hint="default" w:ascii="Symbol" w:hAnsi="Symbol"/>
        <w:i w:val="0"/>
      </w:rPr>
    </w:lvl>
    <w:lvl w:ilvl="2" w:tplc="235E1086">
      <w:start w:val="1"/>
      <w:numFmt w:val="decimal"/>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C12D5D"/>
    <w:multiLevelType w:val="hybridMultilevel"/>
    <w:tmpl w:val="F24A9A0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146A637C"/>
    <w:multiLevelType w:val="hybridMultilevel"/>
    <w:tmpl w:val="8CD661E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nsid w:val="1B9C67BC"/>
    <w:multiLevelType w:val="multilevel"/>
    <w:tmpl w:val="E294C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A25B2C"/>
    <w:multiLevelType w:val="hybridMultilevel"/>
    <w:tmpl w:val="C24C67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nsid w:val="2CAF6A6C"/>
    <w:multiLevelType w:val="hybridMultilevel"/>
    <w:tmpl w:val="7932F8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2F405681"/>
    <w:multiLevelType w:val="hybridMultilevel"/>
    <w:tmpl w:val="AFBC50D6"/>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33947005"/>
    <w:multiLevelType w:val="hybridMultilevel"/>
    <w:tmpl w:val="671AA74E"/>
    <w:lvl w:ilvl="0" w:tplc="235E1086">
      <w:start w:val="1"/>
      <w:numFmt w:val="decimal"/>
      <w:lvlText w:val="%1."/>
      <w:lvlJc w:val="left"/>
      <w:pPr>
        <w:ind w:left="23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7E5C25"/>
    <w:multiLevelType w:val="hybridMultilevel"/>
    <w:tmpl w:val="80CED0C2"/>
    <w:lvl w:ilvl="0" w:tplc="5B7AB73E">
      <w:start w:val="2"/>
      <w:numFmt w:val="upperRoman"/>
      <w:lvlText w:val="%1."/>
      <w:lvlJc w:val="left"/>
      <w:pPr>
        <w:tabs>
          <w:tab w:val="num" w:pos="1080"/>
        </w:tabs>
        <w:ind w:left="1080" w:hanging="720"/>
      </w:pPr>
      <w:rPr>
        <w:rFonts w:hint="default"/>
        <w:i w:val="0"/>
        <w:color w:val="auto"/>
      </w:rPr>
    </w:lvl>
    <w:lvl w:ilvl="1" w:tplc="04090001">
      <w:start w:val="1"/>
      <w:numFmt w:val="bullet"/>
      <w:lvlText w:val=""/>
      <w:lvlJc w:val="left"/>
      <w:pPr>
        <w:ind w:left="1440" w:hanging="360"/>
      </w:pPr>
      <w:rPr>
        <w:rFonts w:hint="default" w:ascii="Symbol" w:hAnsi="Symbol"/>
        <w:i w:val="0"/>
      </w:rPr>
    </w:lvl>
    <w:lvl w:ilvl="2" w:tplc="235E1086">
      <w:start w:val="1"/>
      <w:numFmt w:val="decimal"/>
      <w:lvlText w:val="%3."/>
      <w:lvlJc w:val="left"/>
      <w:pPr>
        <w:ind w:left="2340" w:hanging="360"/>
      </w:pPr>
      <w:rPr>
        <w:rFonts w:hint="default"/>
      </w:rPr>
    </w:lvl>
    <w:lvl w:ilvl="3" w:tplc="04090001">
      <w:start w:val="1"/>
      <w:numFmt w:val="bullet"/>
      <w:lvlText w:val=""/>
      <w:lvlJc w:val="left"/>
      <w:pPr>
        <w:ind w:left="2880" w:hanging="360"/>
      </w:pPr>
      <w:rPr>
        <w:rFonts w:hint="default" w:ascii="Symbol" w:hAnsi="Symbol"/>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097910"/>
    <w:multiLevelType w:val="hybridMultilevel"/>
    <w:tmpl w:val="2B106098"/>
    <w:lvl w:ilvl="0" w:tplc="5B7AB73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913CA9"/>
    <w:multiLevelType w:val="hybridMultilevel"/>
    <w:tmpl w:val="AE20717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nsid w:val="538E3433"/>
    <w:multiLevelType w:val="hybridMultilevel"/>
    <w:tmpl w:val="6848FBDC"/>
    <w:lvl w:ilvl="0" w:tplc="04090001">
      <w:start w:val="1"/>
      <w:numFmt w:val="bullet"/>
      <w:lvlText w:val=""/>
      <w:lvlJc w:val="left"/>
      <w:pPr>
        <w:ind w:left="828" w:hanging="360"/>
      </w:pPr>
      <w:rPr>
        <w:rFonts w:hint="default" w:ascii="Symbol" w:hAnsi="Symbol"/>
      </w:rPr>
    </w:lvl>
    <w:lvl w:ilvl="1" w:tplc="04090003" w:tentative="1">
      <w:start w:val="1"/>
      <w:numFmt w:val="bullet"/>
      <w:lvlText w:val="o"/>
      <w:lvlJc w:val="left"/>
      <w:pPr>
        <w:ind w:left="1548" w:hanging="360"/>
      </w:pPr>
      <w:rPr>
        <w:rFonts w:hint="default" w:ascii="Courier New" w:hAnsi="Courier New" w:cs="Courier New"/>
      </w:rPr>
    </w:lvl>
    <w:lvl w:ilvl="2" w:tplc="04090005" w:tentative="1">
      <w:start w:val="1"/>
      <w:numFmt w:val="bullet"/>
      <w:lvlText w:val=""/>
      <w:lvlJc w:val="left"/>
      <w:pPr>
        <w:ind w:left="2268" w:hanging="360"/>
      </w:pPr>
      <w:rPr>
        <w:rFonts w:hint="default" w:ascii="Wingdings" w:hAnsi="Wingdings"/>
      </w:rPr>
    </w:lvl>
    <w:lvl w:ilvl="3" w:tplc="04090001" w:tentative="1">
      <w:start w:val="1"/>
      <w:numFmt w:val="bullet"/>
      <w:lvlText w:val=""/>
      <w:lvlJc w:val="left"/>
      <w:pPr>
        <w:ind w:left="2988" w:hanging="360"/>
      </w:pPr>
      <w:rPr>
        <w:rFonts w:hint="default" w:ascii="Symbol" w:hAnsi="Symbol"/>
      </w:rPr>
    </w:lvl>
    <w:lvl w:ilvl="4" w:tplc="04090003" w:tentative="1">
      <w:start w:val="1"/>
      <w:numFmt w:val="bullet"/>
      <w:lvlText w:val="o"/>
      <w:lvlJc w:val="left"/>
      <w:pPr>
        <w:ind w:left="3708" w:hanging="360"/>
      </w:pPr>
      <w:rPr>
        <w:rFonts w:hint="default" w:ascii="Courier New" w:hAnsi="Courier New" w:cs="Courier New"/>
      </w:rPr>
    </w:lvl>
    <w:lvl w:ilvl="5" w:tplc="04090005" w:tentative="1">
      <w:start w:val="1"/>
      <w:numFmt w:val="bullet"/>
      <w:lvlText w:val=""/>
      <w:lvlJc w:val="left"/>
      <w:pPr>
        <w:ind w:left="4428" w:hanging="360"/>
      </w:pPr>
      <w:rPr>
        <w:rFonts w:hint="default" w:ascii="Wingdings" w:hAnsi="Wingdings"/>
      </w:rPr>
    </w:lvl>
    <w:lvl w:ilvl="6" w:tplc="04090001" w:tentative="1">
      <w:start w:val="1"/>
      <w:numFmt w:val="bullet"/>
      <w:lvlText w:val=""/>
      <w:lvlJc w:val="left"/>
      <w:pPr>
        <w:ind w:left="5148" w:hanging="360"/>
      </w:pPr>
      <w:rPr>
        <w:rFonts w:hint="default" w:ascii="Symbol" w:hAnsi="Symbol"/>
      </w:rPr>
    </w:lvl>
    <w:lvl w:ilvl="7" w:tplc="04090003" w:tentative="1">
      <w:start w:val="1"/>
      <w:numFmt w:val="bullet"/>
      <w:lvlText w:val="o"/>
      <w:lvlJc w:val="left"/>
      <w:pPr>
        <w:ind w:left="5868" w:hanging="360"/>
      </w:pPr>
      <w:rPr>
        <w:rFonts w:hint="default" w:ascii="Courier New" w:hAnsi="Courier New" w:cs="Courier New"/>
      </w:rPr>
    </w:lvl>
    <w:lvl w:ilvl="8" w:tplc="04090005" w:tentative="1">
      <w:start w:val="1"/>
      <w:numFmt w:val="bullet"/>
      <w:lvlText w:val=""/>
      <w:lvlJc w:val="left"/>
      <w:pPr>
        <w:ind w:left="6588" w:hanging="360"/>
      </w:pPr>
      <w:rPr>
        <w:rFonts w:hint="default" w:ascii="Wingdings" w:hAnsi="Wingdings"/>
      </w:rPr>
    </w:lvl>
  </w:abstractNum>
  <w:abstractNum w:abstractNumId="13">
    <w:nsid w:val="65EA0153"/>
    <w:multiLevelType w:val="multilevel"/>
    <w:tmpl w:val="0C3A7CD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nsid w:val="67CA73AA"/>
    <w:multiLevelType w:val="hybridMultilevel"/>
    <w:tmpl w:val="3336EC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B2D62E2"/>
    <w:multiLevelType w:val="hybridMultilevel"/>
    <w:tmpl w:val="8604C35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nsid w:val="73874306"/>
    <w:multiLevelType w:val="hybridMultilevel"/>
    <w:tmpl w:val="EF28741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7">
    <w:nsid w:val="741A685B"/>
    <w:multiLevelType w:val="hybridMultilevel"/>
    <w:tmpl w:val="B74A2F56"/>
    <w:lvl w:ilvl="0" w:tplc="41B06804">
      <w:start w:val="3"/>
      <w:numFmt w:val="upperRoman"/>
      <w:lvlText w:val="%1."/>
      <w:lvlJc w:val="left"/>
      <w:pPr>
        <w:tabs>
          <w:tab w:val="num" w:pos="720"/>
        </w:tabs>
        <w:ind w:left="720" w:hanging="720"/>
      </w:pPr>
      <w:rPr>
        <w:rFonts w:hint="default" w:ascii="Times New Roman" w:hAnsi="Times New Roman" w:cs="Times New Roman"/>
        <w:b w:val="0"/>
        <w:i w:val="0"/>
        <w:color w:val="auto"/>
        <w:sz w:val="24"/>
        <w:szCs w:val="24"/>
      </w:rPr>
    </w:lvl>
    <w:lvl w:ilvl="1" w:tplc="726058A8">
      <w:start w:val="1"/>
      <w:numFmt w:val="lowerLetter"/>
      <w:lvlText w:val="%2."/>
      <w:lvlJc w:val="left"/>
      <w:pPr>
        <w:tabs>
          <w:tab w:val="num" w:pos="1485"/>
        </w:tabs>
        <w:ind w:left="1485" w:hanging="405"/>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8D43D5F"/>
    <w:multiLevelType w:val="hybridMultilevel"/>
    <w:tmpl w:val="DA0A2BDE"/>
    <w:lvl w:ilvl="0" w:tplc="4F4ECC72">
      <w:start w:val="11"/>
      <w:numFmt w:val="upperRoman"/>
      <w:lvlText w:val="%1."/>
      <w:lvlJc w:val="left"/>
      <w:pPr>
        <w:tabs>
          <w:tab w:val="num" w:pos="960"/>
        </w:tabs>
        <w:ind w:left="960" w:hanging="720"/>
      </w:pPr>
    </w:lvl>
    <w:lvl w:ilvl="1" w:tplc="04090019">
      <w:start w:val="1"/>
      <w:numFmt w:val="decimal"/>
      <w:lvlText w:val="%2."/>
      <w:lvlJc w:val="left"/>
      <w:pPr>
        <w:tabs>
          <w:tab w:val="num" w:pos="1320"/>
        </w:tabs>
        <w:ind w:left="1320" w:hanging="360"/>
      </w:pPr>
    </w:lvl>
    <w:lvl w:ilvl="2" w:tplc="0409001B">
      <w:start w:val="1"/>
      <w:numFmt w:val="decimal"/>
      <w:lvlText w:val="%3."/>
      <w:lvlJc w:val="left"/>
      <w:pPr>
        <w:tabs>
          <w:tab w:val="num" w:pos="2040"/>
        </w:tabs>
        <w:ind w:left="2040" w:hanging="360"/>
      </w:pPr>
    </w:lvl>
    <w:lvl w:ilvl="3" w:tplc="0409000F">
      <w:start w:val="1"/>
      <w:numFmt w:val="decimal"/>
      <w:lvlText w:val="%4."/>
      <w:lvlJc w:val="left"/>
      <w:pPr>
        <w:tabs>
          <w:tab w:val="num" w:pos="2760"/>
        </w:tabs>
        <w:ind w:left="2760" w:hanging="360"/>
      </w:pPr>
    </w:lvl>
    <w:lvl w:ilvl="4" w:tplc="04090019">
      <w:start w:val="1"/>
      <w:numFmt w:val="decimal"/>
      <w:lvlText w:val="%5."/>
      <w:lvlJc w:val="left"/>
      <w:pPr>
        <w:tabs>
          <w:tab w:val="num" w:pos="3480"/>
        </w:tabs>
        <w:ind w:left="3480" w:hanging="360"/>
      </w:pPr>
    </w:lvl>
    <w:lvl w:ilvl="5" w:tplc="0409001B">
      <w:start w:val="1"/>
      <w:numFmt w:val="decimal"/>
      <w:lvlText w:val="%6."/>
      <w:lvlJc w:val="left"/>
      <w:pPr>
        <w:tabs>
          <w:tab w:val="num" w:pos="4200"/>
        </w:tabs>
        <w:ind w:left="4200" w:hanging="360"/>
      </w:pPr>
    </w:lvl>
    <w:lvl w:ilvl="6" w:tplc="0409000F">
      <w:start w:val="1"/>
      <w:numFmt w:val="decimal"/>
      <w:lvlText w:val="%7."/>
      <w:lvlJc w:val="left"/>
      <w:pPr>
        <w:tabs>
          <w:tab w:val="num" w:pos="4920"/>
        </w:tabs>
        <w:ind w:left="4920" w:hanging="360"/>
      </w:pPr>
    </w:lvl>
    <w:lvl w:ilvl="7" w:tplc="04090019">
      <w:start w:val="1"/>
      <w:numFmt w:val="decimal"/>
      <w:lvlText w:val="%8."/>
      <w:lvlJc w:val="left"/>
      <w:pPr>
        <w:tabs>
          <w:tab w:val="num" w:pos="5640"/>
        </w:tabs>
        <w:ind w:left="5640" w:hanging="360"/>
      </w:pPr>
    </w:lvl>
    <w:lvl w:ilvl="8" w:tplc="0409001B">
      <w:start w:val="1"/>
      <w:numFmt w:val="decimal"/>
      <w:lvlText w:val="%9."/>
      <w:lvlJc w:val="left"/>
      <w:pPr>
        <w:tabs>
          <w:tab w:val="num" w:pos="6360"/>
        </w:tabs>
        <w:ind w:left="6360" w:hanging="360"/>
      </w:pPr>
    </w:lvl>
  </w:abstractNum>
  <w:abstractNum w:abstractNumId="19">
    <w:nsid w:val="7DC11C60"/>
    <w:multiLevelType w:val="hybridMultilevel"/>
    <w:tmpl w:val="9360390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8"/>
  </w:num>
  <w:num w:numId="4">
    <w:abstractNumId w:val="17"/>
  </w:num>
  <w:num w:numId="5">
    <w:abstractNumId w:val="10"/>
  </w:num>
  <w:num w:numId="6">
    <w:abstractNumId w:val="7"/>
  </w:num>
  <w:num w:numId="7">
    <w:abstractNumId w:val="6"/>
  </w:num>
  <w:num w:numId="8">
    <w:abstractNumId w:val="3"/>
  </w:num>
  <w:num w:numId="9">
    <w:abstractNumId w:val="0"/>
  </w:num>
  <w:num w:numId="10">
    <w:abstractNumId w:val="16"/>
  </w:num>
  <w:num w:numId="11">
    <w:abstractNumId w:val="19"/>
  </w:num>
  <w:num w:numId="12">
    <w:abstractNumId w:val="11"/>
  </w:num>
  <w:num w:numId="13">
    <w:abstractNumId w:val="5"/>
  </w:num>
  <w:num w:numId="14">
    <w:abstractNumId w:val="2"/>
  </w:num>
  <w:num w:numId="15">
    <w:abstractNumId w:val="12"/>
  </w:num>
  <w:num w:numId="16">
    <w:abstractNumId w:val="14"/>
  </w:num>
  <w:num w:numId="17">
    <w:abstractNumId w:val="4"/>
  </w:num>
  <w:num w:numId="18">
    <w:abstractNumId w:val="8"/>
  </w:num>
  <w:num w:numId="19">
    <w:abstractNumId w:val="1"/>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trackRevisions w:val="fal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C54"/>
    <w:rsid w:val="0000372E"/>
    <w:rsid w:val="000213C0"/>
    <w:rsid w:val="00044457"/>
    <w:rsid w:val="00044E0B"/>
    <w:rsid w:val="00046A15"/>
    <w:rsid w:val="00050457"/>
    <w:rsid w:val="000509DA"/>
    <w:rsid w:val="00050BC3"/>
    <w:rsid w:val="00052151"/>
    <w:rsid w:val="00054C22"/>
    <w:rsid w:val="00061CB8"/>
    <w:rsid w:val="00074D6C"/>
    <w:rsid w:val="00082068"/>
    <w:rsid w:val="00082231"/>
    <w:rsid w:val="00086545"/>
    <w:rsid w:val="00090309"/>
    <w:rsid w:val="00090CA7"/>
    <w:rsid w:val="000A07F6"/>
    <w:rsid w:val="000A28BA"/>
    <w:rsid w:val="000A5DDC"/>
    <w:rsid w:val="000A7B72"/>
    <w:rsid w:val="000B61D5"/>
    <w:rsid w:val="000C4C56"/>
    <w:rsid w:val="000C7336"/>
    <w:rsid w:val="000C7DF9"/>
    <w:rsid w:val="000C7E9D"/>
    <w:rsid w:val="000D22E2"/>
    <w:rsid w:val="00103BA2"/>
    <w:rsid w:val="001146B4"/>
    <w:rsid w:val="00131078"/>
    <w:rsid w:val="0013179C"/>
    <w:rsid w:val="001342A8"/>
    <w:rsid w:val="00134E37"/>
    <w:rsid w:val="0015604B"/>
    <w:rsid w:val="00167649"/>
    <w:rsid w:val="00183141"/>
    <w:rsid w:val="00196C14"/>
    <w:rsid w:val="001971E0"/>
    <w:rsid w:val="001A140C"/>
    <w:rsid w:val="001B47C9"/>
    <w:rsid w:val="001B529F"/>
    <w:rsid w:val="001C1C2B"/>
    <w:rsid w:val="001C6B58"/>
    <w:rsid w:val="001D0329"/>
    <w:rsid w:val="001F1438"/>
    <w:rsid w:val="001F538E"/>
    <w:rsid w:val="001F662B"/>
    <w:rsid w:val="001F7A1C"/>
    <w:rsid w:val="00213B52"/>
    <w:rsid w:val="00214A4F"/>
    <w:rsid w:val="002346B7"/>
    <w:rsid w:val="002515F3"/>
    <w:rsid w:val="002646F8"/>
    <w:rsid w:val="00264818"/>
    <w:rsid w:val="0026735A"/>
    <w:rsid w:val="00271246"/>
    <w:rsid w:val="00277726"/>
    <w:rsid w:val="0028419C"/>
    <w:rsid w:val="0029338D"/>
    <w:rsid w:val="002A16D5"/>
    <w:rsid w:val="002A634A"/>
    <w:rsid w:val="002C0B91"/>
    <w:rsid w:val="002D73E8"/>
    <w:rsid w:val="002E7110"/>
    <w:rsid w:val="002F36DA"/>
    <w:rsid w:val="00307A9E"/>
    <w:rsid w:val="00311554"/>
    <w:rsid w:val="003134A1"/>
    <w:rsid w:val="003317D9"/>
    <w:rsid w:val="0033538C"/>
    <w:rsid w:val="00361326"/>
    <w:rsid w:val="00361667"/>
    <w:rsid w:val="00374581"/>
    <w:rsid w:val="00375A53"/>
    <w:rsid w:val="003856C6"/>
    <w:rsid w:val="003903C3"/>
    <w:rsid w:val="003A0CAD"/>
    <w:rsid w:val="003A22C3"/>
    <w:rsid w:val="003A45C2"/>
    <w:rsid w:val="003A6C64"/>
    <w:rsid w:val="003B3C54"/>
    <w:rsid w:val="003B5292"/>
    <w:rsid w:val="003D1388"/>
    <w:rsid w:val="003D7A44"/>
    <w:rsid w:val="003E2EEE"/>
    <w:rsid w:val="003E5290"/>
    <w:rsid w:val="003F527E"/>
    <w:rsid w:val="00410013"/>
    <w:rsid w:val="00436FDC"/>
    <w:rsid w:val="00440CE0"/>
    <w:rsid w:val="00440E97"/>
    <w:rsid w:val="00460332"/>
    <w:rsid w:val="004621B4"/>
    <w:rsid w:val="00465886"/>
    <w:rsid w:val="00472667"/>
    <w:rsid w:val="00473E8E"/>
    <w:rsid w:val="00480631"/>
    <w:rsid w:val="00491D9A"/>
    <w:rsid w:val="00497C98"/>
    <w:rsid w:val="004A28C7"/>
    <w:rsid w:val="004A74A1"/>
    <w:rsid w:val="004B2971"/>
    <w:rsid w:val="004C44C5"/>
    <w:rsid w:val="004C5706"/>
    <w:rsid w:val="004D4EF3"/>
    <w:rsid w:val="00506061"/>
    <w:rsid w:val="00515BF4"/>
    <w:rsid w:val="00526534"/>
    <w:rsid w:val="00527A1A"/>
    <w:rsid w:val="005320AE"/>
    <w:rsid w:val="00550003"/>
    <w:rsid w:val="00550A31"/>
    <w:rsid w:val="00551923"/>
    <w:rsid w:val="00555A17"/>
    <w:rsid w:val="00557FF0"/>
    <w:rsid w:val="005630E7"/>
    <w:rsid w:val="00567662"/>
    <w:rsid w:val="005716A6"/>
    <w:rsid w:val="00574D5F"/>
    <w:rsid w:val="00574DC9"/>
    <w:rsid w:val="0058622E"/>
    <w:rsid w:val="00594C57"/>
    <w:rsid w:val="005A34D6"/>
    <w:rsid w:val="005B073A"/>
    <w:rsid w:val="005C2D16"/>
    <w:rsid w:val="005C69B9"/>
    <w:rsid w:val="005D013A"/>
    <w:rsid w:val="005D6948"/>
    <w:rsid w:val="005E0F52"/>
    <w:rsid w:val="005E1C52"/>
    <w:rsid w:val="005E6976"/>
    <w:rsid w:val="005F1B05"/>
    <w:rsid w:val="00610CBB"/>
    <w:rsid w:val="006345E4"/>
    <w:rsid w:val="00634E86"/>
    <w:rsid w:val="00641314"/>
    <w:rsid w:val="006446EB"/>
    <w:rsid w:val="00665660"/>
    <w:rsid w:val="00666013"/>
    <w:rsid w:val="006774AC"/>
    <w:rsid w:val="00684AE8"/>
    <w:rsid w:val="00685F63"/>
    <w:rsid w:val="00690204"/>
    <w:rsid w:val="006A068E"/>
    <w:rsid w:val="006A1FCE"/>
    <w:rsid w:val="006A269F"/>
    <w:rsid w:val="006A710F"/>
    <w:rsid w:val="006B1B3B"/>
    <w:rsid w:val="006C19E3"/>
    <w:rsid w:val="006C1F8B"/>
    <w:rsid w:val="006D3ED1"/>
    <w:rsid w:val="006D7AD6"/>
    <w:rsid w:val="006E0C7E"/>
    <w:rsid w:val="006E6AAF"/>
    <w:rsid w:val="006F1B43"/>
    <w:rsid w:val="00704155"/>
    <w:rsid w:val="00717AA4"/>
    <w:rsid w:val="00740785"/>
    <w:rsid w:val="007432B9"/>
    <w:rsid w:val="007662BE"/>
    <w:rsid w:val="0076640E"/>
    <w:rsid w:val="00776E33"/>
    <w:rsid w:val="0078262A"/>
    <w:rsid w:val="007845DB"/>
    <w:rsid w:val="007876A7"/>
    <w:rsid w:val="007A3EDF"/>
    <w:rsid w:val="007A50F6"/>
    <w:rsid w:val="007A6CBB"/>
    <w:rsid w:val="007A7361"/>
    <w:rsid w:val="007B441E"/>
    <w:rsid w:val="007B721E"/>
    <w:rsid w:val="007D1D23"/>
    <w:rsid w:val="007D5732"/>
    <w:rsid w:val="007D67AF"/>
    <w:rsid w:val="007D6E43"/>
    <w:rsid w:val="007E6179"/>
    <w:rsid w:val="007F549B"/>
    <w:rsid w:val="0080480C"/>
    <w:rsid w:val="00813EC1"/>
    <w:rsid w:val="008171AE"/>
    <w:rsid w:val="00817942"/>
    <w:rsid w:val="00822AFE"/>
    <w:rsid w:val="008242C4"/>
    <w:rsid w:val="00825BEA"/>
    <w:rsid w:val="0083719C"/>
    <w:rsid w:val="008406A6"/>
    <w:rsid w:val="00840A41"/>
    <w:rsid w:val="008442F8"/>
    <w:rsid w:val="008549C3"/>
    <w:rsid w:val="0085568F"/>
    <w:rsid w:val="008739B2"/>
    <w:rsid w:val="00883039"/>
    <w:rsid w:val="0088716A"/>
    <w:rsid w:val="00891CCB"/>
    <w:rsid w:val="00892EEF"/>
    <w:rsid w:val="00895C11"/>
    <w:rsid w:val="00896417"/>
    <w:rsid w:val="00896CD2"/>
    <w:rsid w:val="008E6915"/>
    <w:rsid w:val="008F0981"/>
    <w:rsid w:val="00904D40"/>
    <w:rsid w:val="00907602"/>
    <w:rsid w:val="00907974"/>
    <w:rsid w:val="00911013"/>
    <w:rsid w:val="009144B8"/>
    <w:rsid w:val="00922E6B"/>
    <w:rsid w:val="00931CF1"/>
    <w:rsid w:val="0093252F"/>
    <w:rsid w:val="0094030B"/>
    <w:rsid w:val="00940577"/>
    <w:rsid w:val="00941BF1"/>
    <w:rsid w:val="00944EB2"/>
    <w:rsid w:val="009468CE"/>
    <w:rsid w:val="00976740"/>
    <w:rsid w:val="00982EA9"/>
    <w:rsid w:val="009851B5"/>
    <w:rsid w:val="0099295B"/>
    <w:rsid w:val="009A0F57"/>
    <w:rsid w:val="009B78AA"/>
    <w:rsid w:val="009C1263"/>
    <w:rsid w:val="009C4681"/>
    <w:rsid w:val="009D329A"/>
    <w:rsid w:val="009F0D62"/>
    <w:rsid w:val="009F48D9"/>
    <w:rsid w:val="009F566C"/>
    <w:rsid w:val="00A00470"/>
    <w:rsid w:val="00A05DFA"/>
    <w:rsid w:val="00A32B01"/>
    <w:rsid w:val="00A434B8"/>
    <w:rsid w:val="00A52C7F"/>
    <w:rsid w:val="00A71BE0"/>
    <w:rsid w:val="00A7207E"/>
    <w:rsid w:val="00A75CE0"/>
    <w:rsid w:val="00A83880"/>
    <w:rsid w:val="00A95AFF"/>
    <w:rsid w:val="00AA050F"/>
    <w:rsid w:val="00AC4C64"/>
    <w:rsid w:val="00AE0D2C"/>
    <w:rsid w:val="00B06B0E"/>
    <w:rsid w:val="00B16A9A"/>
    <w:rsid w:val="00B2670A"/>
    <w:rsid w:val="00B30868"/>
    <w:rsid w:val="00B30A14"/>
    <w:rsid w:val="00B347E9"/>
    <w:rsid w:val="00B41225"/>
    <w:rsid w:val="00B438CC"/>
    <w:rsid w:val="00B51B88"/>
    <w:rsid w:val="00B55EF4"/>
    <w:rsid w:val="00B63211"/>
    <w:rsid w:val="00B704FE"/>
    <w:rsid w:val="00B82313"/>
    <w:rsid w:val="00B9370A"/>
    <w:rsid w:val="00B97467"/>
    <w:rsid w:val="00BA21E4"/>
    <w:rsid w:val="00BA723E"/>
    <w:rsid w:val="00BC7A79"/>
    <w:rsid w:val="00BD1502"/>
    <w:rsid w:val="00BD2B83"/>
    <w:rsid w:val="00BD3097"/>
    <w:rsid w:val="00BD64E4"/>
    <w:rsid w:val="00BE4913"/>
    <w:rsid w:val="00BF0893"/>
    <w:rsid w:val="00BF3C6F"/>
    <w:rsid w:val="00C10B20"/>
    <w:rsid w:val="00C145C4"/>
    <w:rsid w:val="00C25496"/>
    <w:rsid w:val="00C25EFB"/>
    <w:rsid w:val="00C31E4E"/>
    <w:rsid w:val="00C36F23"/>
    <w:rsid w:val="00C666EF"/>
    <w:rsid w:val="00C67382"/>
    <w:rsid w:val="00C74BEC"/>
    <w:rsid w:val="00C80B44"/>
    <w:rsid w:val="00C86FBF"/>
    <w:rsid w:val="00C929B6"/>
    <w:rsid w:val="00C92E6F"/>
    <w:rsid w:val="00C94D66"/>
    <w:rsid w:val="00CA7BBA"/>
    <w:rsid w:val="00CB061C"/>
    <w:rsid w:val="00CB1C20"/>
    <w:rsid w:val="00CB41C9"/>
    <w:rsid w:val="00CC5D2A"/>
    <w:rsid w:val="00CD02B5"/>
    <w:rsid w:val="00CD1F2F"/>
    <w:rsid w:val="00CD27F9"/>
    <w:rsid w:val="00CD2B27"/>
    <w:rsid w:val="00CE1782"/>
    <w:rsid w:val="00CF1AC1"/>
    <w:rsid w:val="00D00047"/>
    <w:rsid w:val="00D04B83"/>
    <w:rsid w:val="00D069CF"/>
    <w:rsid w:val="00D34868"/>
    <w:rsid w:val="00D3723D"/>
    <w:rsid w:val="00D40E89"/>
    <w:rsid w:val="00D43476"/>
    <w:rsid w:val="00D461B9"/>
    <w:rsid w:val="00D47828"/>
    <w:rsid w:val="00D67D93"/>
    <w:rsid w:val="00D823EE"/>
    <w:rsid w:val="00DA6D33"/>
    <w:rsid w:val="00DA777F"/>
    <w:rsid w:val="00DB48F0"/>
    <w:rsid w:val="00DC0105"/>
    <w:rsid w:val="00DC3C1E"/>
    <w:rsid w:val="00DD2AC8"/>
    <w:rsid w:val="00DE37A2"/>
    <w:rsid w:val="00DE5F62"/>
    <w:rsid w:val="00DE75D4"/>
    <w:rsid w:val="00DF59BC"/>
    <w:rsid w:val="00DF78F7"/>
    <w:rsid w:val="00E10FBC"/>
    <w:rsid w:val="00E1138D"/>
    <w:rsid w:val="00E11FAD"/>
    <w:rsid w:val="00E12333"/>
    <w:rsid w:val="00E14336"/>
    <w:rsid w:val="00E156B1"/>
    <w:rsid w:val="00E25C37"/>
    <w:rsid w:val="00E3431D"/>
    <w:rsid w:val="00E34B1D"/>
    <w:rsid w:val="00E3653C"/>
    <w:rsid w:val="00E54FFE"/>
    <w:rsid w:val="00E57742"/>
    <w:rsid w:val="00E76D8E"/>
    <w:rsid w:val="00E84096"/>
    <w:rsid w:val="00E911F8"/>
    <w:rsid w:val="00E92042"/>
    <w:rsid w:val="00EA2E02"/>
    <w:rsid w:val="00EA65E3"/>
    <w:rsid w:val="00ED30E0"/>
    <w:rsid w:val="00EE58C2"/>
    <w:rsid w:val="00EF3F12"/>
    <w:rsid w:val="00EF614E"/>
    <w:rsid w:val="00EF66BD"/>
    <w:rsid w:val="00F0032D"/>
    <w:rsid w:val="00F114A8"/>
    <w:rsid w:val="00F278B7"/>
    <w:rsid w:val="00F363D2"/>
    <w:rsid w:val="00F41AE8"/>
    <w:rsid w:val="00F435D4"/>
    <w:rsid w:val="00F46E60"/>
    <w:rsid w:val="00F537F1"/>
    <w:rsid w:val="00F540E9"/>
    <w:rsid w:val="00F54F85"/>
    <w:rsid w:val="00F65B2F"/>
    <w:rsid w:val="00F67B31"/>
    <w:rsid w:val="00F70525"/>
    <w:rsid w:val="00F718A8"/>
    <w:rsid w:val="00F71D2E"/>
    <w:rsid w:val="00F72A2B"/>
    <w:rsid w:val="00F7378D"/>
    <w:rsid w:val="00F7672D"/>
    <w:rsid w:val="00F85741"/>
    <w:rsid w:val="00F95264"/>
    <w:rsid w:val="00FA02A5"/>
    <w:rsid w:val="00FA5197"/>
    <w:rsid w:val="00FA6EA9"/>
    <w:rsid w:val="00FB4808"/>
    <w:rsid w:val="00FB56BA"/>
    <w:rsid w:val="00FC6E9D"/>
    <w:rsid w:val="00FD119B"/>
    <w:rsid w:val="00FE20C4"/>
    <w:rsid w:val="00FE2671"/>
    <w:rsid w:val="00FE62AC"/>
    <w:rsid w:val="00FF40E3"/>
    <w:rsid w:val="2F9BD576"/>
    <w:rsid w:val="30C93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13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uiPriority="5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95AFF"/>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rsid w:val="003B3C54"/>
    <w:rPr>
      <w:rFonts w:ascii="Courier New" w:hAnsi="Courier New" w:cs="Courier New"/>
      <w:sz w:val="20"/>
      <w:szCs w:val="20"/>
    </w:rPr>
  </w:style>
  <w:style w:type="table" w:styleId="TableGrid">
    <w:name w:val="Table Grid"/>
    <w:basedOn w:val="TableNormal"/>
    <w:uiPriority w:val="59"/>
    <w:rsid w:val="009A0F5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Professional">
    <w:name w:val="Table Professional"/>
    <w:basedOn w:val="TableNormal"/>
    <w:rsid w:val="009A0F57"/>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paragraph" w:styleId="BalloonText">
    <w:name w:val="Balloon Text"/>
    <w:basedOn w:val="Normal"/>
    <w:link w:val="BalloonTextChar"/>
    <w:rsid w:val="00C80B44"/>
    <w:rPr>
      <w:rFonts w:ascii="Tahoma" w:hAnsi="Tahoma" w:cs="Tahoma"/>
      <w:sz w:val="16"/>
      <w:szCs w:val="16"/>
    </w:rPr>
  </w:style>
  <w:style w:type="character" w:styleId="BalloonTextChar" w:customStyle="1">
    <w:name w:val="Balloon Text Char"/>
    <w:basedOn w:val="DefaultParagraphFont"/>
    <w:link w:val="BalloonText"/>
    <w:rsid w:val="00C80B44"/>
    <w:rPr>
      <w:rFonts w:ascii="Tahoma" w:hAnsi="Tahoma" w:cs="Tahoma"/>
      <w:sz w:val="16"/>
      <w:szCs w:val="16"/>
    </w:rPr>
  </w:style>
  <w:style w:type="character" w:styleId="CommentReference">
    <w:name w:val="annotation reference"/>
    <w:basedOn w:val="DefaultParagraphFont"/>
    <w:rsid w:val="00C80B44"/>
    <w:rPr>
      <w:sz w:val="16"/>
      <w:szCs w:val="16"/>
    </w:rPr>
  </w:style>
  <w:style w:type="paragraph" w:styleId="CommentText">
    <w:name w:val="annotation text"/>
    <w:basedOn w:val="Normal"/>
    <w:link w:val="CommentTextChar"/>
    <w:rsid w:val="00C80B44"/>
    <w:rPr>
      <w:sz w:val="20"/>
      <w:szCs w:val="20"/>
    </w:rPr>
  </w:style>
  <w:style w:type="character" w:styleId="CommentTextChar" w:customStyle="1">
    <w:name w:val="Comment Text Char"/>
    <w:basedOn w:val="DefaultParagraphFont"/>
    <w:link w:val="CommentText"/>
    <w:rsid w:val="00C80B44"/>
  </w:style>
  <w:style w:type="paragraph" w:styleId="CommentSubject">
    <w:name w:val="annotation subject"/>
    <w:basedOn w:val="CommentText"/>
    <w:next w:val="CommentText"/>
    <w:link w:val="CommentSubjectChar"/>
    <w:rsid w:val="00C80B44"/>
    <w:rPr>
      <w:b/>
      <w:bCs/>
    </w:rPr>
  </w:style>
  <w:style w:type="character" w:styleId="CommentSubjectChar" w:customStyle="1">
    <w:name w:val="Comment Subject Char"/>
    <w:basedOn w:val="CommentTextChar"/>
    <w:link w:val="CommentSubject"/>
    <w:rsid w:val="00C80B44"/>
    <w:rPr>
      <w:b/>
      <w:bCs/>
    </w:rPr>
  </w:style>
  <w:style w:type="paragraph" w:styleId="ListParagraph">
    <w:name w:val="List Paragraph"/>
    <w:basedOn w:val="Normal"/>
    <w:uiPriority w:val="34"/>
    <w:qFormat/>
    <w:rsid w:val="00C80B44"/>
    <w:pPr>
      <w:ind w:left="720"/>
    </w:pPr>
  </w:style>
  <w:style w:type="paragraph" w:styleId="Header">
    <w:name w:val="header"/>
    <w:basedOn w:val="Normal"/>
    <w:link w:val="HeaderChar"/>
    <w:uiPriority w:val="99"/>
    <w:rsid w:val="006E0C7E"/>
    <w:pPr>
      <w:tabs>
        <w:tab w:val="center" w:pos="4680"/>
        <w:tab w:val="right" w:pos="9360"/>
      </w:tabs>
    </w:pPr>
  </w:style>
  <w:style w:type="character" w:styleId="HeaderChar" w:customStyle="1">
    <w:name w:val="Header Char"/>
    <w:basedOn w:val="DefaultParagraphFont"/>
    <w:link w:val="Header"/>
    <w:uiPriority w:val="99"/>
    <w:rsid w:val="006E0C7E"/>
    <w:rPr>
      <w:sz w:val="24"/>
      <w:szCs w:val="24"/>
    </w:rPr>
  </w:style>
  <w:style w:type="paragraph" w:styleId="Footer">
    <w:name w:val="footer"/>
    <w:basedOn w:val="Normal"/>
    <w:link w:val="FooterChar"/>
    <w:rsid w:val="006E0C7E"/>
    <w:pPr>
      <w:tabs>
        <w:tab w:val="center" w:pos="4680"/>
        <w:tab w:val="right" w:pos="9360"/>
      </w:tabs>
    </w:pPr>
  </w:style>
  <w:style w:type="character" w:styleId="FooterChar" w:customStyle="1">
    <w:name w:val="Footer Char"/>
    <w:basedOn w:val="DefaultParagraphFont"/>
    <w:link w:val="Footer"/>
    <w:rsid w:val="006E0C7E"/>
    <w:rPr>
      <w:sz w:val="24"/>
      <w:szCs w:val="24"/>
    </w:rPr>
  </w:style>
  <w:style w:type="character" w:styleId="PlainTextChar" w:customStyle="1">
    <w:name w:val="Plain Text Char"/>
    <w:basedOn w:val="DefaultParagraphFont"/>
    <w:link w:val="PlainText"/>
    <w:uiPriority w:val="99"/>
    <w:rsid w:val="00DC3C1E"/>
    <w:rPr>
      <w:rFonts w:ascii="Courier New" w:hAnsi="Courier New" w:cs="Courier New"/>
    </w:rPr>
  </w:style>
  <w:style w:type="paragraph" w:styleId="NormalWeb">
    <w:name w:val="Normal (Web)"/>
    <w:basedOn w:val="Normal"/>
    <w:uiPriority w:val="99"/>
    <w:unhideWhenUsed/>
    <w:rsid w:val="00557FF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AF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3B3C54"/>
    <w:rPr>
      <w:rFonts w:ascii="Courier New" w:hAnsi="Courier New" w:cs="Courier New"/>
      <w:sz w:val="20"/>
      <w:szCs w:val="20"/>
    </w:rPr>
  </w:style>
  <w:style w:type="table" w:styleId="TableGrid">
    <w:name w:val="Table Grid"/>
    <w:basedOn w:val="TableNormal"/>
    <w:uiPriority w:val="59"/>
    <w:rsid w:val="009A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9A0F5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alloonText">
    <w:name w:val="Balloon Text"/>
    <w:basedOn w:val="Normal"/>
    <w:link w:val="BalloonTextChar"/>
    <w:rsid w:val="00C80B44"/>
    <w:rPr>
      <w:rFonts w:ascii="Tahoma" w:hAnsi="Tahoma" w:cs="Tahoma"/>
      <w:sz w:val="16"/>
      <w:szCs w:val="16"/>
    </w:rPr>
  </w:style>
  <w:style w:type="character" w:customStyle="1" w:styleId="BalloonTextChar">
    <w:name w:val="Balloon Text Char"/>
    <w:basedOn w:val="DefaultParagraphFont"/>
    <w:link w:val="BalloonText"/>
    <w:rsid w:val="00C80B44"/>
    <w:rPr>
      <w:rFonts w:ascii="Tahoma" w:hAnsi="Tahoma" w:cs="Tahoma"/>
      <w:sz w:val="16"/>
      <w:szCs w:val="16"/>
    </w:rPr>
  </w:style>
  <w:style w:type="character" w:styleId="CommentReference">
    <w:name w:val="annotation reference"/>
    <w:basedOn w:val="DefaultParagraphFont"/>
    <w:rsid w:val="00C80B44"/>
    <w:rPr>
      <w:sz w:val="16"/>
      <w:szCs w:val="16"/>
    </w:rPr>
  </w:style>
  <w:style w:type="paragraph" w:styleId="CommentText">
    <w:name w:val="annotation text"/>
    <w:basedOn w:val="Normal"/>
    <w:link w:val="CommentTextChar"/>
    <w:rsid w:val="00C80B44"/>
    <w:rPr>
      <w:sz w:val="20"/>
      <w:szCs w:val="20"/>
    </w:rPr>
  </w:style>
  <w:style w:type="character" w:customStyle="1" w:styleId="CommentTextChar">
    <w:name w:val="Comment Text Char"/>
    <w:basedOn w:val="DefaultParagraphFont"/>
    <w:link w:val="CommentText"/>
    <w:rsid w:val="00C80B44"/>
  </w:style>
  <w:style w:type="paragraph" w:styleId="CommentSubject">
    <w:name w:val="annotation subject"/>
    <w:basedOn w:val="CommentText"/>
    <w:next w:val="CommentText"/>
    <w:link w:val="CommentSubjectChar"/>
    <w:rsid w:val="00C80B44"/>
    <w:rPr>
      <w:b/>
      <w:bCs/>
    </w:rPr>
  </w:style>
  <w:style w:type="character" w:customStyle="1" w:styleId="CommentSubjectChar">
    <w:name w:val="Comment Subject Char"/>
    <w:basedOn w:val="CommentTextChar"/>
    <w:link w:val="CommentSubject"/>
    <w:rsid w:val="00C80B44"/>
    <w:rPr>
      <w:b/>
      <w:bCs/>
    </w:rPr>
  </w:style>
  <w:style w:type="paragraph" w:styleId="ListParagraph">
    <w:name w:val="List Paragraph"/>
    <w:basedOn w:val="Normal"/>
    <w:uiPriority w:val="34"/>
    <w:qFormat/>
    <w:rsid w:val="00C80B44"/>
    <w:pPr>
      <w:ind w:left="720"/>
    </w:pPr>
  </w:style>
  <w:style w:type="paragraph" w:styleId="Header">
    <w:name w:val="header"/>
    <w:basedOn w:val="Normal"/>
    <w:link w:val="HeaderChar"/>
    <w:uiPriority w:val="99"/>
    <w:rsid w:val="006E0C7E"/>
    <w:pPr>
      <w:tabs>
        <w:tab w:val="center" w:pos="4680"/>
        <w:tab w:val="right" w:pos="9360"/>
      </w:tabs>
    </w:pPr>
  </w:style>
  <w:style w:type="character" w:customStyle="1" w:styleId="HeaderChar">
    <w:name w:val="Header Char"/>
    <w:basedOn w:val="DefaultParagraphFont"/>
    <w:link w:val="Header"/>
    <w:uiPriority w:val="99"/>
    <w:rsid w:val="006E0C7E"/>
    <w:rPr>
      <w:sz w:val="24"/>
      <w:szCs w:val="24"/>
    </w:rPr>
  </w:style>
  <w:style w:type="paragraph" w:styleId="Footer">
    <w:name w:val="footer"/>
    <w:basedOn w:val="Normal"/>
    <w:link w:val="FooterChar"/>
    <w:rsid w:val="006E0C7E"/>
    <w:pPr>
      <w:tabs>
        <w:tab w:val="center" w:pos="4680"/>
        <w:tab w:val="right" w:pos="9360"/>
      </w:tabs>
    </w:pPr>
  </w:style>
  <w:style w:type="character" w:customStyle="1" w:styleId="FooterChar">
    <w:name w:val="Footer Char"/>
    <w:basedOn w:val="DefaultParagraphFont"/>
    <w:link w:val="Footer"/>
    <w:rsid w:val="006E0C7E"/>
    <w:rPr>
      <w:sz w:val="24"/>
      <w:szCs w:val="24"/>
    </w:rPr>
  </w:style>
  <w:style w:type="character" w:customStyle="1" w:styleId="PlainTextChar">
    <w:name w:val="Plain Text Char"/>
    <w:basedOn w:val="DefaultParagraphFont"/>
    <w:link w:val="PlainText"/>
    <w:uiPriority w:val="99"/>
    <w:rsid w:val="00DC3C1E"/>
    <w:rPr>
      <w:rFonts w:ascii="Courier New" w:hAnsi="Courier New" w:cs="Courier New"/>
    </w:rPr>
  </w:style>
  <w:style w:type="paragraph" w:styleId="NormalWeb">
    <w:name w:val="Normal (Web)"/>
    <w:basedOn w:val="Normal"/>
    <w:uiPriority w:val="99"/>
    <w:unhideWhenUsed/>
    <w:rsid w:val="00557FF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84299">
      <w:bodyDiv w:val="1"/>
      <w:marLeft w:val="0"/>
      <w:marRight w:val="0"/>
      <w:marTop w:val="0"/>
      <w:marBottom w:val="0"/>
      <w:divBdr>
        <w:top w:val="none" w:sz="0" w:space="0" w:color="auto"/>
        <w:left w:val="none" w:sz="0" w:space="0" w:color="auto"/>
        <w:bottom w:val="none" w:sz="0" w:space="0" w:color="auto"/>
        <w:right w:val="none" w:sz="0" w:space="0" w:color="auto"/>
      </w:divBdr>
    </w:div>
    <w:div w:id="754398765">
      <w:bodyDiv w:val="1"/>
      <w:marLeft w:val="0"/>
      <w:marRight w:val="0"/>
      <w:marTop w:val="0"/>
      <w:marBottom w:val="0"/>
      <w:divBdr>
        <w:top w:val="none" w:sz="0" w:space="0" w:color="auto"/>
        <w:left w:val="none" w:sz="0" w:space="0" w:color="auto"/>
        <w:bottom w:val="none" w:sz="0" w:space="0" w:color="auto"/>
        <w:right w:val="none" w:sz="0" w:space="0" w:color="auto"/>
      </w:divBdr>
    </w:div>
    <w:div w:id="780228111">
      <w:bodyDiv w:val="1"/>
      <w:marLeft w:val="0"/>
      <w:marRight w:val="0"/>
      <w:marTop w:val="0"/>
      <w:marBottom w:val="0"/>
      <w:divBdr>
        <w:top w:val="none" w:sz="0" w:space="0" w:color="auto"/>
        <w:left w:val="none" w:sz="0" w:space="0" w:color="auto"/>
        <w:bottom w:val="none" w:sz="0" w:space="0" w:color="auto"/>
        <w:right w:val="none" w:sz="0" w:space="0" w:color="auto"/>
      </w:divBdr>
    </w:div>
    <w:div w:id="1248614689">
      <w:bodyDiv w:val="1"/>
      <w:marLeft w:val="0"/>
      <w:marRight w:val="0"/>
      <w:marTop w:val="0"/>
      <w:marBottom w:val="0"/>
      <w:divBdr>
        <w:top w:val="none" w:sz="0" w:space="0" w:color="auto"/>
        <w:left w:val="none" w:sz="0" w:space="0" w:color="auto"/>
        <w:bottom w:val="none" w:sz="0" w:space="0" w:color="auto"/>
        <w:right w:val="none" w:sz="0" w:space="0" w:color="auto"/>
      </w:divBdr>
    </w:div>
    <w:div w:id="1368141650">
      <w:bodyDiv w:val="1"/>
      <w:marLeft w:val="0"/>
      <w:marRight w:val="0"/>
      <w:marTop w:val="0"/>
      <w:marBottom w:val="0"/>
      <w:divBdr>
        <w:top w:val="none" w:sz="0" w:space="0" w:color="auto"/>
        <w:left w:val="none" w:sz="0" w:space="0" w:color="auto"/>
        <w:bottom w:val="none" w:sz="0" w:space="0" w:color="auto"/>
        <w:right w:val="none" w:sz="0" w:space="0" w:color="auto"/>
      </w:divBdr>
    </w:div>
    <w:div w:id="1445881380">
      <w:bodyDiv w:val="1"/>
      <w:marLeft w:val="0"/>
      <w:marRight w:val="0"/>
      <w:marTop w:val="0"/>
      <w:marBottom w:val="0"/>
      <w:divBdr>
        <w:top w:val="none" w:sz="0" w:space="0" w:color="auto"/>
        <w:left w:val="none" w:sz="0" w:space="0" w:color="auto"/>
        <w:bottom w:val="none" w:sz="0" w:space="0" w:color="auto"/>
        <w:right w:val="none" w:sz="0" w:space="0" w:color="auto"/>
      </w:divBdr>
      <w:divsChild>
        <w:div w:id="513610912">
          <w:marLeft w:val="0"/>
          <w:marRight w:val="0"/>
          <w:marTop w:val="0"/>
          <w:marBottom w:val="0"/>
          <w:divBdr>
            <w:top w:val="none" w:sz="0" w:space="0" w:color="auto"/>
            <w:left w:val="none" w:sz="0" w:space="0" w:color="auto"/>
            <w:bottom w:val="none" w:sz="0" w:space="0" w:color="auto"/>
            <w:right w:val="none" w:sz="0" w:space="0" w:color="auto"/>
          </w:divBdr>
        </w:div>
      </w:divsChild>
    </w:div>
    <w:div w:id="1931967110">
      <w:bodyDiv w:val="1"/>
      <w:marLeft w:val="0"/>
      <w:marRight w:val="0"/>
      <w:marTop w:val="0"/>
      <w:marBottom w:val="0"/>
      <w:divBdr>
        <w:top w:val="none" w:sz="0" w:space="0" w:color="auto"/>
        <w:left w:val="none" w:sz="0" w:space="0" w:color="auto"/>
        <w:bottom w:val="none" w:sz="0" w:space="0" w:color="auto"/>
        <w:right w:val="none" w:sz="0" w:space="0" w:color="auto"/>
      </w:divBdr>
    </w:div>
    <w:div w:id="197043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5.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customXml" Target="../customXml/item3.xml" Id="rId14" /><Relationship Type="http://schemas.openxmlformats.org/officeDocument/2006/relationships/glossaryDocument" Target="/word/glossary/document.xml" Id="Rf672488e61c84cf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47de4f0-4b15-46a0-9178-4686c8fd73bc}"/>
      </w:docPartPr>
      <w:docPartBody>
        <w:p w14:paraId="5EB6877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D1DA5D14862940A4D3FB39F08F32AF" ma:contentTypeVersion="31" ma:contentTypeDescription="Create a new document." ma:contentTypeScope="" ma:versionID="2dddf40935781ae043e8f1d54d87e8eb">
  <xsd:schema xmlns:xsd="http://www.w3.org/2001/XMLSchema" xmlns:xs="http://www.w3.org/2001/XMLSchema" xmlns:p="http://schemas.microsoft.com/office/2006/metadata/properties" xmlns:ns2="ca7553f2-9f1a-4130-b34a-0b5cdf5c7c8d" xmlns:ns3="b0586c53-9fcb-45dd-8f51-74e828e757c2" targetNamespace="http://schemas.microsoft.com/office/2006/metadata/properties" ma:root="true" ma:fieldsID="e425d80cbc81a484fe4d70946fea820c" ns2:_="" ns3:_="">
    <xsd:import namespace="ca7553f2-9f1a-4130-b34a-0b5cdf5c7c8d"/>
    <xsd:import namespace="b0586c53-9fcb-45dd-8f51-74e828e757c2"/>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553f2-9f1a-4130-b34a-0b5cdf5c7c8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86c53-9fcb-45dd-8f51-74e828e757c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DefaultSectionNames xmlns="ca7553f2-9f1a-4130-b34a-0b5cdf5c7c8d" xsi:nil="true"/>
    <Invited_Members xmlns="ca7553f2-9f1a-4130-b34a-0b5cdf5c7c8d" xsi:nil="true"/>
    <TeamsChannelId xmlns="ca7553f2-9f1a-4130-b34a-0b5cdf5c7c8d" xsi:nil="true"/>
    <Invited_Leaders xmlns="ca7553f2-9f1a-4130-b34a-0b5cdf5c7c8d" xsi:nil="true"/>
    <Templates xmlns="ca7553f2-9f1a-4130-b34a-0b5cdf5c7c8d" xsi:nil="true"/>
    <Members xmlns="ca7553f2-9f1a-4130-b34a-0b5cdf5c7c8d">
      <UserInfo>
        <DisplayName/>
        <AccountId xsi:nil="true"/>
        <AccountType/>
      </UserInfo>
    </Members>
    <Member_Groups xmlns="ca7553f2-9f1a-4130-b34a-0b5cdf5c7c8d">
      <UserInfo>
        <DisplayName/>
        <AccountId xsi:nil="true"/>
        <AccountType/>
      </UserInfo>
    </Member_Groups>
    <Is_Collaboration_Space_Locked xmlns="ca7553f2-9f1a-4130-b34a-0b5cdf5c7c8d" xsi:nil="true"/>
    <Leaders xmlns="ca7553f2-9f1a-4130-b34a-0b5cdf5c7c8d">
      <UserInfo>
        <DisplayName/>
        <AccountId xsi:nil="true"/>
        <AccountType/>
      </UserInfo>
    </Leaders>
    <Distribution_Groups xmlns="ca7553f2-9f1a-4130-b34a-0b5cdf5c7c8d" xsi:nil="true"/>
    <Self_Registration_Enabled xmlns="ca7553f2-9f1a-4130-b34a-0b5cdf5c7c8d" xsi:nil="true"/>
    <LMS_Mappings xmlns="ca7553f2-9f1a-4130-b34a-0b5cdf5c7c8d" xsi:nil="true"/>
    <CultureName xmlns="ca7553f2-9f1a-4130-b34a-0b5cdf5c7c8d" xsi:nil="true"/>
    <AppVersion xmlns="ca7553f2-9f1a-4130-b34a-0b5cdf5c7c8d" xsi:nil="true"/>
    <NotebookType xmlns="ca7553f2-9f1a-4130-b34a-0b5cdf5c7c8d" xsi:nil="true"/>
    <FolderType xmlns="ca7553f2-9f1a-4130-b34a-0b5cdf5c7c8d" xsi:nil="true"/>
    <IsNotebookLocked xmlns="ca7553f2-9f1a-4130-b34a-0b5cdf5c7c8d" xsi:nil="true"/>
    <Owner xmlns="ca7553f2-9f1a-4130-b34a-0b5cdf5c7c8d">
      <UserInfo>
        <DisplayName/>
        <AccountId xsi:nil="true"/>
        <AccountType/>
      </UserInfo>
    </Owner>
    <Math_Settings xmlns="ca7553f2-9f1a-4130-b34a-0b5cdf5c7c8d" xsi:nil="true"/>
    <Has_Leaders_Only_SectionGroup xmlns="ca7553f2-9f1a-4130-b34a-0b5cdf5c7c8d" xsi:nil="true"/>
  </documentManagement>
</p:properties>
</file>

<file path=customXml/itemProps1.xml><?xml version="1.0" encoding="utf-8"?>
<ds:datastoreItem xmlns:ds="http://schemas.openxmlformats.org/officeDocument/2006/customXml" ds:itemID="{11A3CB87-C2C5-444C-B8A7-7E1416C73350}"/>
</file>

<file path=customXml/itemProps2.xml><?xml version="1.0" encoding="utf-8"?>
<ds:datastoreItem xmlns:ds="http://schemas.openxmlformats.org/officeDocument/2006/customXml" ds:itemID="{FFEB7F5A-EFE0-492E-B565-3E004E553271}"/>
</file>

<file path=customXml/itemProps3.xml><?xml version="1.0" encoding="utf-8"?>
<ds:datastoreItem xmlns:ds="http://schemas.openxmlformats.org/officeDocument/2006/customXml" ds:itemID="{0766CEE3-9E32-43ED-96A0-40333799263E}"/>
</file>

<file path=customXml/itemProps4.xml><?xml version="1.0" encoding="utf-8"?>
<ds:datastoreItem xmlns:ds="http://schemas.openxmlformats.org/officeDocument/2006/customXml" ds:itemID="{161AD80B-C77E-4A3B-A3BC-1DD9AAE1C18A}"/>
</file>

<file path=customXml/itemProps5.xml><?xml version="1.0" encoding="utf-8"?>
<ds:datastoreItem xmlns:ds="http://schemas.openxmlformats.org/officeDocument/2006/customXml" ds:itemID="{3E541827-C646-4738-8122-6807F2F89B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The University of Alabama</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Template</dc:title>
  <dc:creator>Jones, David</dc:creator>
  <cp:lastModifiedBy>Williamson, Ashley A</cp:lastModifiedBy>
  <cp:revision>4</cp:revision>
  <cp:lastPrinted>2017-09-28T21:07:00Z</cp:lastPrinted>
  <dcterms:created xsi:type="dcterms:W3CDTF">2017-10-04T15:00:00Z</dcterms:created>
  <dcterms:modified xsi:type="dcterms:W3CDTF">2020-02-28T00:12:57Z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0x0101005ED1DA5D14862940A4D3FB39F08F32AF</vt:lpwstr>
  </property>
  <property fmtid="{D5CDD505-2E9C-101B-9397-08002B2CF9AE}" pid="3" name="_dlc_DocIdItemGuid">
    <vt:lpwstr>1ae69c19-00dc-4353-a44e-367e56314204</vt:lpwstr>
  </property>
  <property fmtid="{D5CDD505-2E9C-101B-9397-08002B2CF9AE}" pid="4" name="Order">
    <vt:r8>800</vt:r8>
  </property>
</Properties>
</file>